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840" w:type="dxa"/>
        <w:tblInd w:w="-8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40"/>
        <w:gridCol w:w="1440"/>
        <w:gridCol w:w="2160"/>
        <w:gridCol w:w="1260"/>
        <w:gridCol w:w="540"/>
        <w:gridCol w:w="900"/>
        <w:gridCol w:w="1080"/>
        <w:gridCol w:w="900"/>
        <w:gridCol w:w="720"/>
        <w:gridCol w:w="2226"/>
        <w:gridCol w:w="1554"/>
        <w:gridCol w:w="900"/>
        <w:gridCol w:w="720"/>
      </w:tblGrid>
      <w:tr w:rsidR="007D0ABC" w:rsidTr="00A86131">
        <w:trPr>
          <w:cantSplit/>
          <w:tblHeader/>
        </w:trPr>
        <w:tc>
          <w:tcPr>
            <w:tcW w:w="1440" w:type="dxa"/>
            <w:tcBorders>
              <w:top w:val="single" w:sz="4" w:space="0" w:color="auto"/>
            </w:tcBorders>
          </w:tcPr>
          <w:p w:rsidR="007D0ABC" w:rsidRDefault="007D0ABC" w:rsidP="00A05B06">
            <w:pPr>
              <w:rPr>
                <w:sz w:val="18"/>
              </w:rPr>
            </w:pPr>
            <w:bookmarkStart w:id="0" w:name="_GoBack"/>
            <w:bookmarkEnd w:id="0"/>
            <w:proofErr w:type="spellStart"/>
            <w:r>
              <w:rPr>
                <w:sz w:val="18"/>
              </w:rPr>
              <w:t>Celex</w:t>
            </w:r>
            <w:proofErr w:type="spellEnd"/>
            <w:r>
              <w:rPr>
                <w:sz w:val="18"/>
              </w:rPr>
              <w:t>:</w:t>
            </w:r>
            <w:r>
              <w:t xml:space="preserve"> </w:t>
            </w:r>
          </w:p>
        </w:tc>
        <w:tc>
          <w:tcPr>
            <w:tcW w:w="1440" w:type="dxa"/>
            <w:tcBorders>
              <w:top w:val="single" w:sz="4" w:space="0" w:color="auto"/>
            </w:tcBorders>
          </w:tcPr>
          <w:p w:rsidR="007D0ABC" w:rsidRDefault="00A86131">
            <w:pPr>
              <w:rPr>
                <w:b/>
                <w:sz w:val="18"/>
              </w:rPr>
            </w:pPr>
            <w:r>
              <w:rPr>
                <w:b/>
                <w:sz w:val="18"/>
              </w:rPr>
              <w:t>32018L1910</w:t>
            </w:r>
          </w:p>
        </w:tc>
        <w:tc>
          <w:tcPr>
            <w:tcW w:w="2160" w:type="dxa"/>
            <w:tcBorders>
              <w:top w:val="single" w:sz="4" w:space="0" w:color="auto"/>
            </w:tcBorders>
          </w:tcPr>
          <w:p w:rsidR="007D0ABC" w:rsidRDefault="007D0ABC">
            <w:pPr>
              <w:rPr>
                <w:bCs/>
                <w:sz w:val="18"/>
              </w:rPr>
            </w:pPr>
            <w:r>
              <w:rPr>
                <w:sz w:val="18"/>
              </w:rPr>
              <w:t>Lhůta pro implementaci</w:t>
            </w:r>
          </w:p>
        </w:tc>
        <w:tc>
          <w:tcPr>
            <w:tcW w:w="1260" w:type="dxa"/>
            <w:tcBorders>
              <w:top w:val="single" w:sz="4" w:space="0" w:color="auto"/>
            </w:tcBorders>
          </w:tcPr>
          <w:p w:rsidR="007D0ABC" w:rsidRDefault="007D0ABC" w:rsidP="00A86131">
            <w:pPr>
              <w:rPr>
                <w:bCs/>
                <w:sz w:val="18"/>
              </w:rPr>
            </w:pPr>
            <w:r>
              <w:rPr>
                <w:bCs/>
                <w:sz w:val="18"/>
              </w:rPr>
              <w:t>1. ledna 20</w:t>
            </w:r>
            <w:r w:rsidR="00A86131">
              <w:rPr>
                <w:bCs/>
                <w:sz w:val="18"/>
              </w:rPr>
              <w:t>20</w:t>
            </w:r>
          </w:p>
        </w:tc>
        <w:tc>
          <w:tcPr>
            <w:tcW w:w="1440" w:type="dxa"/>
            <w:gridSpan w:val="2"/>
            <w:tcBorders>
              <w:top w:val="single" w:sz="4" w:space="0" w:color="auto"/>
            </w:tcBorders>
          </w:tcPr>
          <w:p w:rsidR="007D0ABC" w:rsidRDefault="007D0ABC">
            <w:pPr>
              <w:rPr>
                <w:sz w:val="18"/>
              </w:rPr>
            </w:pPr>
            <w:r>
              <w:rPr>
                <w:sz w:val="18"/>
              </w:rPr>
              <w:t xml:space="preserve">Úřední věstník                    </w:t>
            </w:r>
          </w:p>
        </w:tc>
        <w:tc>
          <w:tcPr>
            <w:tcW w:w="1080" w:type="dxa"/>
            <w:tcBorders>
              <w:top w:val="single" w:sz="4" w:space="0" w:color="auto"/>
            </w:tcBorders>
          </w:tcPr>
          <w:p w:rsidR="007D0ABC" w:rsidRDefault="00A86131">
            <w:pPr>
              <w:rPr>
                <w:sz w:val="18"/>
              </w:rPr>
            </w:pPr>
            <w:r>
              <w:rPr>
                <w:sz w:val="18"/>
              </w:rPr>
              <w:t>L 311</w:t>
            </w:r>
          </w:p>
        </w:tc>
        <w:tc>
          <w:tcPr>
            <w:tcW w:w="900" w:type="dxa"/>
            <w:tcBorders>
              <w:top w:val="single" w:sz="4" w:space="0" w:color="auto"/>
            </w:tcBorders>
          </w:tcPr>
          <w:p w:rsidR="007D0ABC" w:rsidRDefault="007D0ABC">
            <w:pPr>
              <w:rPr>
                <w:sz w:val="18"/>
              </w:rPr>
            </w:pPr>
            <w:r>
              <w:rPr>
                <w:sz w:val="18"/>
              </w:rPr>
              <w:t>Gestor</w:t>
            </w:r>
          </w:p>
        </w:tc>
        <w:tc>
          <w:tcPr>
            <w:tcW w:w="720" w:type="dxa"/>
            <w:tcBorders>
              <w:top w:val="single" w:sz="4" w:space="0" w:color="auto"/>
            </w:tcBorders>
          </w:tcPr>
          <w:p w:rsidR="007D0ABC" w:rsidRDefault="007D0ABC">
            <w:pPr>
              <w:rPr>
                <w:sz w:val="18"/>
              </w:rPr>
            </w:pPr>
            <w:r>
              <w:rPr>
                <w:sz w:val="18"/>
              </w:rPr>
              <w:t>MF</w:t>
            </w:r>
          </w:p>
        </w:tc>
        <w:tc>
          <w:tcPr>
            <w:tcW w:w="2226" w:type="dxa"/>
            <w:tcBorders>
              <w:top w:val="single" w:sz="4" w:space="0" w:color="auto"/>
            </w:tcBorders>
          </w:tcPr>
          <w:p w:rsidR="007D0ABC" w:rsidRDefault="007D0ABC">
            <w:pPr>
              <w:jc w:val="right"/>
              <w:rPr>
                <w:sz w:val="18"/>
              </w:rPr>
            </w:pPr>
            <w:r>
              <w:rPr>
                <w:sz w:val="18"/>
              </w:rPr>
              <w:t>Zpracoval (</w:t>
            </w:r>
            <w:proofErr w:type="spellStart"/>
            <w:r>
              <w:rPr>
                <w:sz w:val="18"/>
              </w:rPr>
              <w:t>jméno+datum</w:t>
            </w:r>
            <w:proofErr w:type="spellEnd"/>
            <w:r>
              <w:rPr>
                <w:sz w:val="18"/>
              </w:rPr>
              <w:t>):</w:t>
            </w:r>
          </w:p>
        </w:tc>
        <w:tc>
          <w:tcPr>
            <w:tcW w:w="3174" w:type="dxa"/>
            <w:gridSpan w:val="3"/>
            <w:tcBorders>
              <w:top w:val="single" w:sz="4" w:space="0" w:color="auto"/>
            </w:tcBorders>
          </w:tcPr>
          <w:p w:rsidR="007D0ABC" w:rsidRDefault="007D0ABC" w:rsidP="00A86131">
            <w:pPr>
              <w:rPr>
                <w:sz w:val="18"/>
              </w:rPr>
            </w:pPr>
            <w:r>
              <w:rPr>
                <w:sz w:val="18"/>
              </w:rPr>
              <w:t xml:space="preserve">Ing. Růžena Hrůšová, </w:t>
            </w:r>
            <w:r w:rsidR="00A86131">
              <w:rPr>
                <w:sz w:val="18"/>
              </w:rPr>
              <w:t>14. ledna 2019</w:t>
            </w:r>
            <w:r>
              <w:rPr>
                <w:sz w:val="18"/>
              </w:rPr>
              <w:t xml:space="preserve"> </w:t>
            </w:r>
          </w:p>
        </w:tc>
      </w:tr>
      <w:tr w:rsidR="007D0ABC" w:rsidTr="00A86131">
        <w:trPr>
          <w:cantSplit/>
          <w:tblHeader/>
        </w:trPr>
        <w:tc>
          <w:tcPr>
            <w:tcW w:w="1440" w:type="dxa"/>
          </w:tcPr>
          <w:p w:rsidR="007D0ABC" w:rsidRDefault="007D0ABC">
            <w:pPr>
              <w:rPr>
                <w:sz w:val="18"/>
              </w:rPr>
            </w:pPr>
            <w:r>
              <w:rPr>
                <w:sz w:val="18"/>
              </w:rPr>
              <w:t>Název:</w:t>
            </w:r>
          </w:p>
        </w:tc>
        <w:tc>
          <w:tcPr>
            <w:tcW w:w="9000" w:type="dxa"/>
            <w:gridSpan w:val="8"/>
          </w:tcPr>
          <w:p w:rsidR="007D0ABC" w:rsidRDefault="007D0ABC">
            <w:pPr>
              <w:jc w:val="both"/>
              <w:rPr>
                <w:sz w:val="18"/>
              </w:rPr>
            </w:pPr>
            <w:r w:rsidRPr="00CE5D55">
              <w:rPr>
                <w:sz w:val="18"/>
              </w:rPr>
              <w:t xml:space="preserve">Směrnice Rady (EU) </w:t>
            </w:r>
            <w:r w:rsidR="00A86131" w:rsidRPr="00A86131">
              <w:rPr>
                <w:sz w:val="18"/>
              </w:rPr>
              <w:t>2018/1910 ze dne 4. prosince 2018, kterou se mění směrnice 2006/112/ES, pokud jde o harmonizaci a zjednodušení určitých pravidel v systému daně z přidané hodnoty pro obchod mezi členskými státy</w:t>
            </w:r>
          </w:p>
        </w:tc>
        <w:tc>
          <w:tcPr>
            <w:tcW w:w="2226" w:type="dxa"/>
          </w:tcPr>
          <w:p w:rsidR="007D0ABC" w:rsidRDefault="007D0ABC">
            <w:pPr>
              <w:jc w:val="right"/>
              <w:rPr>
                <w:sz w:val="18"/>
              </w:rPr>
            </w:pPr>
            <w:proofErr w:type="gramStart"/>
            <w:r>
              <w:rPr>
                <w:sz w:val="18"/>
              </w:rPr>
              <w:t>Schválil    (</w:t>
            </w:r>
            <w:proofErr w:type="spellStart"/>
            <w:r>
              <w:rPr>
                <w:sz w:val="18"/>
              </w:rPr>
              <w:t>jméno+datum</w:t>
            </w:r>
            <w:proofErr w:type="spellEnd"/>
            <w:proofErr w:type="gramEnd"/>
            <w:r>
              <w:rPr>
                <w:sz w:val="18"/>
              </w:rPr>
              <w:t>):</w:t>
            </w:r>
          </w:p>
        </w:tc>
        <w:tc>
          <w:tcPr>
            <w:tcW w:w="3174" w:type="dxa"/>
            <w:gridSpan w:val="3"/>
          </w:tcPr>
          <w:p w:rsidR="007D0ABC" w:rsidRDefault="007D0ABC" w:rsidP="00A86131">
            <w:pPr>
              <w:rPr>
                <w:sz w:val="18"/>
              </w:rPr>
            </w:pPr>
            <w:r>
              <w:rPr>
                <w:sz w:val="18"/>
              </w:rPr>
              <w:t xml:space="preserve">Ing. Ondřej Fasora, Ph.D., </w:t>
            </w:r>
            <w:r w:rsidR="00A86131">
              <w:rPr>
                <w:sz w:val="18"/>
              </w:rPr>
              <w:t>1</w:t>
            </w:r>
            <w:r>
              <w:rPr>
                <w:sz w:val="18"/>
              </w:rPr>
              <w:t xml:space="preserve">4. </w:t>
            </w:r>
            <w:r w:rsidR="00A86131">
              <w:rPr>
                <w:sz w:val="18"/>
              </w:rPr>
              <w:t>ledna 2019</w:t>
            </w:r>
          </w:p>
        </w:tc>
      </w:tr>
      <w:tr w:rsidR="007D0ABC">
        <w:trPr>
          <w:cantSplit/>
          <w:tblHeader/>
        </w:trPr>
        <w:tc>
          <w:tcPr>
            <w:tcW w:w="6840" w:type="dxa"/>
            <w:gridSpan w:val="5"/>
            <w:tcBorders>
              <w:right w:val="single" w:sz="18" w:space="0" w:color="auto"/>
            </w:tcBorders>
            <w:shd w:val="clear" w:color="auto" w:fill="00FFFF"/>
          </w:tcPr>
          <w:p w:rsidR="007D0ABC" w:rsidRDefault="007D0ABC">
            <w:pPr>
              <w:rPr>
                <w:sz w:val="16"/>
              </w:rPr>
            </w:pPr>
            <w:r>
              <w:rPr>
                <w:sz w:val="16"/>
              </w:rPr>
              <w:t xml:space="preserve">                                                                Právní předpis EU              </w:t>
            </w:r>
          </w:p>
        </w:tc>
        <w:tc>
          <w:tcPr>
            <w:tcW w:w="9000" w:type="dxa"/>
            <w:gridSpan w:val="8"/>
            <w:tcBorders>
              <w:left w:val="single" w:sz="18" w:space="0" w:color="auto"/>
            </w:tcBorders>
            <w:shd w:val="clear" w:color="auto" w:fill="FFFF00"/>
          </w:tcPr>
          <w:p w:rsidR="007D0ABC" w:rsidRDefault="007D0ABC">
            <w:pPr>
              <w:jc w:val="center"/>
              <w:rPr>
                <w:sz w:val="16"/>
              </w:rPr>
            </w:pPr>
            <w:r>
              <w:rPr>
                <w:sz w:val="16"/>
              </w:rPr>
              <w:t>Implementační předpisy ČR</w:t>
            </w:r>
          </w:p>
        </w:tc>
      </w:tr>
      <w:tr w:rsidR="007D0ABC">
        <w:trPr>
          <w:cantSplit/>
          <w:tblHeader/>
        </w:trPr>
        <w:tc>
          <w:tcPr>
            <w:tcW w:w="1440" w:type="dxa"/>
          </w:tcPr>
          <w:p w:rsidR="007D0ABC" w:rsidRDefault="007D0ABC">
            <w:pPr>
              <w:rPr>
                <w:sz w:val="12"/>
              </w:rPr>
            </w:pPr>
            <w:r>
              <w:rPr>
                <w:sz w:val="12"/>
              </w:rPr>
              <w:t>Ustanovení (</w:t>
            </w:r>
            <w:proofErr w:type="spellStart"/>
            <w:proofErr w:type="gramStart"/>
            <w:r>
              <w:rPr>
                <w:sz w:val="12"/>
              </w:rPr>
              <w:t>článek,odst</w:t>
            </w:r>
            <w:proofErr w:type="spellEnd"/>
            <w:r>
              <w:rPr>
                <w:sz w:val="12"/>
              </w:rPr>
              <w:t>.</w:t>
            </w:r>
            <w:proofErr w:type="gramEnd"/>
            <w:r>
              <w:rPr>
                <w:sz w:val="12"/>
              </w:rPr>
              <w:t>, písm., atd.)</w:t>
            </w:r>
          </w:p>
        </w:tc>
        <w:tc>
          <w:tcPr>
            <w:tcW w:w="5400" w:type="dxa"/>
            <w:gridSpan w:val="4"/>
            <w:tcBorders>
              <w:right w:val="single" w:sz="18" w:space="0" w:color="auto"/>
            </w:tcBorders>
          </w:tcPr>
          <w:p w:rsidR="007D0ABC" w:rsidRDefault="007D0ABC">
            <w:pPr>
              <w:jc w:val="center"/>
              <w:rPr>
                <w:sz w:val="12"/>
              </w:rPr>
            </w:pPr>
            <w:r>
              <w:rPr>
                <w:sz w:val="12"/>
              </w:rPr>
              <w:t>Citace ustanovení</w:t>
            </w:r>
          </w:p>
        </w:tc>
        <w:tc>
          <w:tcPr>
            <w:tcW w:w="900" w:type="dxa"/>
            <w:tcBorders>
              <w:left w:val="single" w:sz="18" w:space="0" w:color="auto"/>
            </w:tcBorders>
          </w:tcPr>
          <w:p w:rsidR="007D0ABC" w:rsidRDefault="007D0ABC">
            <w:pPr>
              <w:rPr>
                <w:sz w:val="12"/>
              </w:rPr>
            </w:pPr>
            <w:r>
              <w:rPr>
                <w:sz w:val="12"/>
              </w:rPr>
              <w:t>Číslo Sb. / ID</w:t>
            </w:r>
          </w:p>
        </w:tc>
        <w:tc>
          <w:tcPr>
            <w:tcW w:w="1080" w:type="dxa"/>
          </w:tcPr>
          <w:p w:rsidR="007D0ABC" w:rsidRDefault="007D0ABC">
            <w:pPr>
              <w:rPr>
                <w:sz w:val="12"/>
              </w:rPr>
            </w:pPr>
            <w:r>
              <w:rPr>
                <w:sz w:val="12"/>
              </w:rPr>
              <w:t>Ustanovení (§, odst., písm., atd.)</w:t>
            </w:r>
          </w:p>
        </w:tc>
        <w:tc>
          <w:tcPr>
            <w:tcW w:w="5400" w:type="dxa"/>
            <w:gridSpan w:val="4"/>
          </w:tcPr>
          <w:p w:rsidR="007D0ABC" w:rsidRDefault="007D0ABC">
            <w:pPr>
              <w:jc w:val="center"/>
              <w:rPr>
                <w:sz w:val="12"/>
              </w:rPr>
            </w:pPr>
            <w:r>
              <w:rPr>
                <w:sz w:val="12"/>
              </w:rPr>
              <w:t>Citace ustanovení</w:t>
            </w:r>
          </w:p>
        </w:tc>
        <w:tc>
          <w:tcPr>
            <w:tcW w:w="900" w:type="dxa"/>
          </w:tcPr>
          <w:p w:rsidR="007D0ABC" w:rsidRDefault="007D0ABC">
            <w:pPr>
              <w:rPr>
                <w:sz w:val="12"/>
              </w:rPr>
            </w:pPr>
            <w:r>
              <w:rPr>
                <w:sz w:val="12"/>
              </w:rPr>
              <w:t>Vyhodnocení *</w:t>
            </w:r>
          </w:p>
          <w:p w:rsidR="007D0ABC" w:rsidRDefault="007D0ABC">
            <w:pPr>
              <w:rPr>
                <w:sz w:val="12"/>
              </w:rPr>
            </w:pPr>
          </w:p>
        </w:tc>
        <w:tc>
          <w:tcPr>
            <w:tcW w:w="720" w:type="dxa"/>
          </w:tcPr>
          <w:p w:rsidR="007D0ABC" w:rsidRDefault="007D0ABC">
            <w:pPr>
              <w:rPr>
                <w:sz w:val="12"/>
              </w:rPr>
            </w:pPr>
            <w:r>
              <w:rPr>
                <w:sz w:val="12"/>
              </w:rPr>
              <w:t>Poznámka</w:t>
            </w:r>
          </w:p>
          <w:p w:rsidR="007D0ABC" w:rsidRDefault="007D0ABC">
            <w:pPr>
              <w:jc w:val="center"/>
              <w:rPr>
                <w:sz w:val="12"/>
              </w:rPr>
            </w:pPr>
          </w:p>
        </w:tc>
      </w:tr>
      <w:tr w:rsidR="007D0ABC">
        <w:tc>
          <w:tcPr>
            <w:tcW w:w="1440" w:type="dxa"/>
            <w:tcBorders>
              <w:bottom w:val="nil"/>
              <w:right w:val="single" w:sz="4" w:space="0" w:color="auto"/>
            </w:tcBorders>
          </w:tcPr>
          <w:p w:rsidR="007D0ABC" w:rsidRDefault="007D0ABC">
            <w:pPr>
              <w:rPr>
                <w:sz w:val="18"/>
              </w:rPr>
            </w:pPr>
            <w:r w:rsidRPr="00573C64">
              <w:rPr>
                <w:sz w:val="18"/>
              </w:rPr>
              <w:t>Článek 1</w:t>
            </w:r>
          </w:p>
        </w:tc>
        <w:tc>
          <w:tcPr>
            <w:tcW w:w="5400" w:type="dxa"/>
            <w:gridSpan w:val="4"/>
            <w:tcBorders>
              <w:left w:val="single" w:sz="4" w:space="0" w:color="auto"/>
              <w:bottom w:val="nil"/>
              <w:right w:val="single" w:sz="18" w:space="0" w:color="auto"/>
            </w:tcBorders>
          </w:tcPr>
          <w:p w:rsidR="007D0ABC" w:rsidRDefault="007D0ABC">
            <w:pPr>
              <w:pStyle w:val="Zpat"/>
              <w:tabs>
                <w:tab w:val="clear" w:pos="4536"/>
                <w:tab w:val="clear" w:pos="9072"/>
              </w:tabs>
              <w:rPr>
                <w:sz w:val="18"/>
              </w:rPr>
            </w:pPr>
            <w:r w:rsidRPr="00967918">
              <w:rPr>
                <w:sz w:val="18"/>
                <w:szCs w:val="18"/>
              </w:rPr>
              <w:t>Směrnice 2006/112/ES se mění takto:</w:t>
            </w:r>
          </w:p>
        </w:tc>
        <w:tc>
          <w:tcPr>
            <w:tcW w:w="900" w:type="dxa"/>
            <w:tcBorders>
              <w:left w:val="single" w:sz="18" w:space="0" w:color="auto"/>
              <w:bottom w:val="nil"/>
              <w:right w:val="single" w:sz="4" w:space="0" w:color="auto"/>
            </w:tcBorders>
          </w:tcPr>
          <w:p w:rsidR="007D0ABC" w:rsidRDefault="007D0ABC">
            <w:pPr>
              <w:rPr>
                <w:sz w:val="18"/>
              </w:rPr>
            </w:pPr>
          </w:p>
        </w:tc>
        <w:tc>
          <w:tcPr>
            <w:tcW w:w="1080" w:type="dxa"/>
            <w:tcBorders>
              <w:left w:val="single" w:sz="4" w:space="0" w:color="auto"/>
              <w:bottom w:val="nil"/>
              <w:right w:val="single" w:sz="4" w:space="0" w:color="auto"/>
            </w:tcBorders>
          </w:tcPr>
          <w:p w:rsidR="007D0ABC" w:rsidRDefault="007D0ABC">
            <w:pPr>
              <w:rPr>
                <w:sz w:val="18"/>
              </w:rPr>
            </w:pPr>
          </w:p>
        </w:tc>
        <w:tc>
          <w:tcPr>
            <w:tcW w:w="5400" w:type="dxa"/>
            <w:gridSpan w:val="4"/>
            <w:tcBorders>
              <w:left w:val="single" w:sz="4" w:space="0" w:color="auto"/>
              <w:bottom w:val="nil"/>
              <w:right w:val="single" w:sz="4" w:space="0" w:color="auto"/>
            </w:tcBorders>
          </w:tcPr>
          <w:p w:rsidR="007D0ABC" w:rsidRDefault="007D0ABC">
            <w:pPr>
              <w:rPr>
                <w:sz w:val="18"/>
              </w:rPr>
            </w:pPr>
            <w:r>
              <w:rPr>
                <w:i/>
                <w:iCs/>
                <w:sz w:val="18"/>
              </w:rPr>
              <w:t>Nerelevantní z hlediska transpozice.</w:t>
            </w:r>
          </w:p>
        </w:tc>
        <w:tc>
          <w:tcPr>
            <w:tcW w:w="900" w:type="dxa"/>
            <w:tcBorders>
              <w:left w:val="single" w:sz="4" w:space="0" w:color="auto"/>
              <w:bottom w:val="nil"/>
              <w:right w:val="single" w:sz="4" w:space="0" w:color="auto"/>
            </w:tcBorders>
          </w:tcPr>
          <w:p w:rsidR="007D0ABC" w:rsidRDefault="007D0ABC">
            <w:pPr>
              <w:rPr>
                <w:sz w:val="18"/>
              </w:rPr>
            </w:pPr>
            <w:r>
              <w:rPr>
                <w:sz w:val="18"/>
              </w:rPr>
              <w:t>NT</w:t>
            </w:r>
          </w:p>
        </w:tc>
        <w:tc>
          <w:tcPr>
            <w:tcW w:w="720" w:type="dxa"/>
            <w:tcBorders>
              <w:left w:val="single" w:sz="4" w:space="0" w:color="auto"/>
              <w:bottom w:val="nil"/>
            </w:tcBorders>
          </w:tcPr>
          <w:p w:rsidR="007D0ABC" w:rsidRDefault="007D0ABC">
            <w:pPr>
              <w:rPr>
                <w:sz w:val="18"/>
              </w:rPr>
            </w:pPr>
          </w:p>
        </w:tc>
      </w:tr>
      <w:tr w:rsidR="00D76EA9">
        <w:tc>
          <w:tcPr>
            <w:tcW w:w="1440" w:type="dxa"/>
            <w:tcBorders>
              <w:top w:val="single" w:sz="4" w:space="0" w:color="auto"/>
              <w:bottom w:val="nil"/>
              <w:right w:val="single" w:sz="4" w:space="0" w:color="auto"/>
            </w:tcBorders>
          </w:tcPr>
          <w:p w:rsidR="00D76EA9" w:rsidRDefault="00D76EA9" w:rsidP="007B1569">
            <w:pPr>
              <w:rPr>
                <w:sz w:val="18"/>
              </w:rPr>
            </w:pPr>
            <w:r>
              <w:rPr>
                <w:sz w:val="18"/>
              </w:rPr>
              <w:t>Článek 1 odst. 1</w:t>
            </w:r>
          </w:p>
          <w:p w:rsidR="00D76EA9" w:rsidRDefault="00D76EA9" w:rsidP="007B1569">
            <w:pPr>
              <w:rPr>
                <w:sz w:val="18"/>
              </w:rPr>
            </w:pPr>
            <w:r>
              <w:rPr>
                <w:sz w:val="18"/>
              </w:rPr>
              <w:t xml:space="preserve">(čl. 17a) </w:t>
            </w:r>
          </w:p>
        </w:tc>
        <w:tc>
          <w:tcPr>
            <w:tcW w:w="5400" w:type="dxa"/>
            <w:gridSpan w:val="4"/>
            <w:tcBorders>
              <w:top w:val="single" w:sz="4" w:space="0" w:color="auto"/>
              <w:left w:val="single" w:sz="4" w:space="0" w:color="auto"/>
              <w:bottom w:val="nil"/>
              <w:right w:val="single" w:sz="18" w:space="0" w:color="auto"/>
            </w:tcBorders>
          </w:tcPr>
          <w:p w:rsidR="00D76EA9" w:rsidRPr="005C456B" w:rsidRDefault="00D76EA9" w:rsidP="00FA6D1E">
            <w:pPr>
              <w:spacing w:before="60"/>
              <w:jc w:val="both"/>
              <w:rPr>
                <w:color w:val="000000"/>
                <w:sz w:val="18"/>
                <w:szCs w:val="18"/>
              </w:rPr>
            </w:pPr>
            <w:r w:rsidRPr="005C456B">
              <w:rPr>
                <w:color w:val="000000"/>
                <w:sz w:val="18"/>
                <w:szCs w:val="18"/>
              </w:rPr>
              <w:t>1) Vkládá se nový článek, který zní:</w:t>
            </w:r>
          </w:p>
          <w:p w:rsidR="00D76EA9" w:rsidRPr="005C456B" w:rsidRDefault="00D76EA9" w:rsidP="00FA6D1E">
            <w:pPr>
              <w:spacing w:before="60"/>
              <w:jc w:val="center"/>
              <w:rPr>
                <w:i/>
                <w:iCs/>
                <w:color w:val="000000"/>
                <w:sz w:val="18"/>
                <w:szCs w:val="18"/>
              </w:rPr>
            </w:pPr>
            <w:r w:rsidRPr="005C456B">
              <w:rPr>
                <w:i/>
                <w:iCs/>
                <w:color w:val="000000"/>
                <w:sz w:val="18"/>
                <w:szCs w:val="18"/>
              </w:rPr>
              <w:t>„Článek 17a</w:t>
            </w:r>
          </w:p>
          <w:p w:rsidR="00D76EA9" w:rsidRPr="005C456B" w:rsidRDefault="00D76EA9" w:rsidP="00FA6D1E">
            <w:pPr>
              <w:spacing w:before="60"/>
              <w:jc w:val="both"/>
              <w:rPr>
                <w:color w:val="000000"/>
                <w:sz w:val="18"/>
                <w:szCs w:val="18"/>
              </w:rPr>
            </w:pPr>
            <w:r w:rsidRPr="005C456B">
              <w:rPr>
                <w:color w:val="000000"/>
                <w:sz w:val="18"/>
                <w:szCs w:val="18"/>
              </w:rPr>
              <w:t>1. Za dodání zboží za úplatu se nepovažuje přemístění zboží osobou povinnou k dani, které je součástí jejího obchodního majetku, do jiného členského státu v rámci režimu call-</w:t>
            </w:r>
            <w:proofErr w:type="spellStart"/>
            <w:r w:rsidRPr="005C456B">
              <w:rPr>
                <w:color w:val="000000"/>
                <w:sz w:val="18"/>
                <w:szCs w:val="18"/>
              </w:rPr>
              <w:t>off</w:t>
            </w:r>
            <w:proofErr w:type="spellEnd"/>
            <w:r w:rsidRPr="005C456B">
              <w:rPr>
                <w:color w:val="000000"/>
                <w:sz w:val="18"/>
                <w:szCs w:val="18"/>
              </w:rPr>
              <w:t xml:space="preserve"> </w:t>
            </w:r>
            <w:proofErr w:type="spellStart"/>
            <w:r w:rsidRPr="005C456B">
              <w:rPr>
                <w:color w:val="000000"/>
                <w:sz w:val="18"/>
                <w:szCs w:val="18"/>
              </w:rPr>
              <w:t>stock</w:t>
            </w:r>
            <w:proofErr w:type="spellEnd"/>
            <w:r w:rsidRPr="005C456B">
              <w:rPr>
                <w:color w:val="000000"/>
                <w:sz w:val="18"/>
                <w:szCs w:val="18"/>
              </w:rPr>
              <w:t>.</w:t>
            </w:r>
          </w:p>
          <w:p w:rsidR="00D76EA9" w:rsidRPr="005C456B" w:rsidRDefault="00D76EA9" w:rsidP="00FA6D1E">
            <w:pPr>
              <w:spacing w:before="60"/>
              <w:jc w:val="both"/>
              <w:rPr>
                <w:color w:val="000000"/>
                <w:sz w:val="18"/>
                <w:szCs w:val="18"/>
              </w:rPr>
            </w:pPr>
            <w:r w:rsidRPr="005C456B">
              <w:rPr>
                <w:color w:val="000000"/>
                <w:sz w:val="18"/>
                <w:szCs w:val="18"/>
              </w:rPr>
              <w:t>2. Pro účely tohoto článku se za režim call-</w:t>
            </w:r>
            <w:proofErr w:type="spellStart"/>
            <w:r w:rsidRPr="005C456B">
              <w:rPr>
                <w:color w:val="000000"/>
                <w:sz w:val="18"/>
                <w:szCs w:val="18"/>
              </w:rPr>
              <w:t>of</w:t>
            </w:r>
            <w:proofErr w:type="spellEnd"/>
            <w:r w:rsidRPr="005C456B">
              <w:rPr>
                <w:color w:val="000000"/>
                <w:sz w:val="18"/>
                <w:szCs w:val="18"/>
              </w:rPr>
              <w:t xml:space="preserve"> </w:t>
            </w:r>
            <w:proofErr w:type="spellStart"/>
            <w:r w:rsidRPr="005C456B">
              <w:rPr>
                <w:color w:val="000000"/>
                <w:sz w:val="18"/>
                <w:szCs w:val="18"/>
              </w:rPr>
              <w:t>stock</w:t>
            </w:r>
            <w:proofErr w:type="spellEnd"/>
            <w:r w:rsidRPr="005C456B">
              <w:rPr>
                <w:color w:val="000000"/>
                <w:sz w:val="18"/>
                <w:szCs w:val="18"/>
              </w:rPr>
              <w:t xml:space="preserve"> považuje situace, kdy jsou splněny následující podmínky:</w:t>
            </w:r>
          </w:p>
          <w:p w:rsidR="00D76EA9" w:rsidRPr="005C456B" w:rsidRDefault="00D76EA9" w:rsidP="00FA6D1E">
            <w:pPr>
              <w:spacing w:before="60"/>
              <w:jc w:val="both"/>
              <w:rPr>
                <w:color w:val="000000"/>
                <w:sz w:val="18"/>
                <w:szCs w:val="18"/>
              </w:rPr>
            </w:pPr>
            <w:r w:rsidRPr="005C456B">
              <w:rPr>
                <w:color w:val="000000"/>
                <w:sz w:val="18"/>
                <w:szCs w:val="18"/>
              </w:rPr>
              <w:t>a) zboží je odesláno nebo přepraveno osobou povinnou k dani nebo na její účet třetí osobou do jiného členského státu za účelem jeho dodání v tomto státě v pozdější fázi po ukončení přepravy jiné osobě povinné k dani, která je oprávněna převzít vlastnické právo k tomuto zboží v souladu s dohodou mezi oběma osobami povinnými k dani;</w:t>
            </w:r>
          </w:p>
          <w:p w:rsidR="00D76EA9" w:rsidRPr="005C456B" w:rsidRDefault="00D76EA9" w:rsidP="00FA6D1E">
            <w:pPr>
              <w:spacing w:before="60"/>
              <w:jc w:val="both"/>
              <w:rPr>
                <w:color w:val="000000"/>
                <w:sz w:val="18"/>
                <w:szCs w:val="18"/>
              </w:rPr>
            </w:pPr>
            <w:r w:rsidRPr="005C456B">
              <w:rPr>
                <w:color w:val="000000"/>
                <w:sz w:val="18"/>
                <w:szCs w:val="18"/>
              </w:rPr>
              <w:t>b) osoba povinná k dani, která zboží odesílá nebo přepravuje, nemá v členském státě, do kterého se zboží odesílá nebo přepravuje, sídlo ekonomické činnosti ani stálou provozovnu;</w:t>
            </w:r>
          </w:p>
          <w:p w:rsidR="00D76EA9" w:rsidRPr="005C456B" w:rsidRDefault="00D76EA9" w:rsidP="00FA6D1E">
            <w:pPr>
              <w:spacing w:before="60"/>
              <w:jc w:val="both"/>
              <w:rPr>
                <w:color w:val="000000"/>
                <w:sz w:val="18"/>
                <w:szCs w:val="18"/>
              </w:rPr>
            </w:pPr>
            <w:r w:rsidRPr="005C456B">
              <w:rPr>
                <w:color w:val="000000"/>
                <w:sz w:val="18"/>
                <w:szCs w:val="18"/>
              </w:rPr>
              <w:t>c) osoba povinná k dani, jíž je zboží určeno k dodání, je v členském státě, do kterého se zboží odesílá nebo přepravuje, identifikována pro účely DPH a její totožnost i identifikační číslo pro DPH přidělené tímto členským státem jsou osobě povinné k dani uvedené v písmeni b) známy v době zahájení odeslání nebo přepravy zboží;</w:t>
            </w:r>
          </w:p>
          <w:p w:rsidR="00D76EA9" w:rsidRPr="005C456B" w:rsidRDefault="00D76EA9" w:rsidP="00FA6D1E">
            <w:pPr>
              <w:spacing w:before="60"/>
              <w:jc w:val="both"/>
              <w:rPr>
                <w:color w:val="000000"/>
                <w:sz w:val="18"/>
                <w:szCs w:val="18"/>
              </w:rPr>
            </w:pPr>
            <w:r w:rsidRPr="005C456B">
              <w:rPr>
                <w:color w:val="000000"/>
                <w:sz w:val="18"/>
                <w:szCs w:val="18"/>
              </w:rPr>
              <w:t>d) osoba povinná k dani, která zboží odesílá nebo přepravuje, zaznamená přemístění zboží v evidenci podle čl. 243 odst. 3 a uvede totožnost osoby povinné k dani, která zboží pořizuje, spolu s identifikačním číslem pro DPH přiděleným této osobě členským státem, do kterého je zboží odesláno nebo přepraveno, v souhrnném hlášení, jak stanoví čl. 262 odst. 2.</w:t>
            </w:r>
          </w:p>
          <w:p w:rsidR="00D76EA9" w:rsidRPr="005C456B" w:rsidRDefault="00D76EA9" w:rsidP="00FA6D1E">
            <w:pPr>
              <w:spacing w:before="60"/>
              <w:jc w:val="both"/>
              <w:rPr>
                <w:color w:val="000000"/>
                <w:sz w:val="18"/>
                <w:szCs w:val="18"/>
              </w:rPr>
            </w:pPr>
            <w:r w:rsidRPr="005C456B">
              <w:rPr>
                <w:color w:val="000000"/>
                <w:sz w:val="18"/>
                <w:szCs w:val="18"/>
              </w:rPr>
              <w:t>3. Jsou-li podmínky stanovené v odstavci 2 splněny, použijí se v okamžiku převodu práva nakládat se zbožím jako vlastník na osobu povinnou k dani podle odst. 2 písm. c) následující pravidla za podmínky, že k tomuto převodu dojde ve lhůtě uvedené v odstavci 4:</w:t>
            </w:r>
          </w:p>
          <w:p w:rsidR="00D76EA9" w:rsidRPr="005C456B" w:rsidRDefault="00D76EA9" w:rsidP="00FA6D1E">
            <w:pPr>
              <w:spacing w:before="60"/>
              <w:jc w:val="both"/>
              <w:rPr>
                <w:color w:val="000000"/>
                <w:sz w:val="18"/>
                <w:szCs w:val="18"/>
              </w:rPr>
            </w:pPr>
            <w:r w:rsidRPr="005C456B">
              <w:rPr>
                <w:color w:val="000000"/>
                <w:sz w:val="18"/>
                <w:szCs w:val="18"/>
              </w:rPr>
              <w:t>a) má se za to, že osoba povinná k dani, která zboží odeslala nebo přepravila, ať již sama, nebo na svůj účet prostřednictvím třetí osoby, uskutečnila v členském státě, ze kterého bylo zboží odesláno nebo přepraveno, dodání zboží v souladu s čl. 138 odst. 1;</w:t>
            </w:r>
          </w:p>
          <w:p w:rsidR="00D76EA9" w:rsidRPr="005C456B" w:rsidRDefault="00D76EA9" w:rsidP="00FA6D1E">
            <w:pPr>
              <w:spacing w:before="60"/>
              <w:jc w:val="both"/>
              <w:rPr>
                <w:color w:val="000000"/>
                <w:sz w:val="18"/>
                <w:szCs w:val="18"/>
              </w:rPr>
            </w:pPr>
            <w:r w:rsidRPr="005C456B">
              <w:rPr>
                <w:color w:val="000000"/>
                <w:sz w:val="18"/>
                <w:szCs w:val="18"/>
              </w:rPr>
              <w:t>b) má se za to, že osoba povinná k dani, jíž je zboží dodáno, uskutečnila v členském státě, do kterého bylo zboží odesláno nebo přepraveno, pořízení zboží uvnitř Společenství.</w:t>
            </w:r>
          </w:p>
          <w:p w:rsidR="00D76EA9" w:rsidRPr="005C456B" w:rsidRDefault="00D76EA9" w:rsidP="00FA6D1E">
            <w:pPr>
              <w:spacing w:before="60"/>
              <w:jc w:val="both"/>
              <w:rPr>
                <w:color w:val="000000"/>
                <w:sz w:val="18"/>
                <w:szCs w:val="18"/>
              </w:rPr>
            </w:pPr>
            <w:r w:rsidRPr="005C456B">
              <w:rPr>
                <w:color w:val="000000"/>
                <w:sz w:val="18"/>
                <w:szCs w:val="18"/>
              </w:rPr>
              <w:t xml:space="preserve">4. Jestliže do 12 měsíců od ukončení přepravy zboží v členském státě, do kterého bylo odesláno nebo přepraveno, není zboží dodáno osobě </w:t>
            </w:r>
            <w:r w:rsidRPr="005C456B">
              <w:rPr>
                <w:color w:val="000000"/>
                <w:sz w:val="18"/>
                <w:szCs w:val="18"/>
              </w:rPr>
              <w:lastRenderedPageBreak/>
              <w:t>povinné k dani, jíž bylo určeno k dodání, jak je uvedeno v odst. 2 písm. c) a v odstavci 6, přičemž nenastala žádná z okolností stanovených v odstavci 7, má se za to, že v den následující po uplynutí tohoto dvanáctiměsíčního období dochází k přemístění ve smyslu článku 17.</w:t>
            </w:r>
          </w:p>
          <w:p w:rsidR="00D76EA9" w:rsidRPr="005C456B" w:rsidRDefault="00D76EA9" w:rsidP="00FA6D1E">
            <w:pPr>
              <w:spacing w:before="60"/>
              <w:jc w:val="both"/>
              <w:rPr>
                <w:color w:val="000000"/>
                <w:sz w:val="18"/>
                <w:szCs w:val="18"/>
              </w:rPr>
            </w:pPr>
            <w:r w:rsidRPr="005C456B">
              <w:rPr>
                <w:color w:val="000000"/>
                <w:sz w:val="18"/>
                <w:szCs w:val="18"/>
              </w:rPr>
              <w:t>5. Má se za to, že k přemístění ve smyslu článku 17 nedochází, jsou-li splněny tyto podmínky:</w:t>
            </w:r>
          </w:p>
          <w:p w:rsidR="00D76EA9" w:rsidRPr="005C456B" w:rsidRDefault="00D76EA9" w:rsidP="00FA6D1E">
            <w:pPr>
              <w:spacing w:before="60"/>
              <w:jc w:val="both"/>
              <w:rPr>
                <w:color w:val="000000"/>
                <w:sz w:val="18"/>
                <w:szCs w:val="18"/>
              </w:rPr>
            </w:pPr>
            <w:r w:rsidRPr="005C456B">
              <w:rPr>
                <w:color w:val="000000"/>
                <w:sz w:val="18"/>
                <w:szCs w:val="18"/>
              </w:rPr>
              <w:t>a) nebylo převedeno právo nakládat se zbožím a toto zboží je vráceno do členského státu, ze kterého bylo odesláno nebo přepraveno, ve lhůtě stanovené v odstavci 4 a</w:t>
            </w:r>
          </w:p>
          <w:p w:rsidR="00D76EA9" w:rsidRPr="005C456B" w:rsidRDefault="00D76EA9" w:rsidP="00FA6D1E">
            <w:pPr>
              <w:spacing w:before="60"/>
              <w:jc w:val="both"/>
              <w:rPr>
                <w:color w:val="000000"/>
                <w:sz w:val="18"/>
                <w:szCs w:val="18"/>
              </w:rPr>
            </w:pPr>
            <w:r w:rsidRPr="005C456B">
              <w:rPr>
                <w:color w:val="000000"/>
                <w:sz w:val="18"/>
                <w:szCs w:val="18"/>
              </w:rPr>
              <w:t>b) osoba povinná k dani, která zboží odeslala nebo přepravila, zaznamená jeho vrácení v evidenci podle čl. 243 odst. 3.</w:t>
            </w:r>
          </w:p>
          <w:p w:rsidR="00D76EA9" w:rsidRPr="005C456B" w:rsidRDefault="00D76EA9" w:rsidP="00FA6D1E">
            <w:pPr>
              <w:spacing w:before="60"/>
              <w:jc w:val="both"/>
              <w:rPr>
                <w:color w:val="000000"/>
                <w:sz w:val="18"/>
                <w:szCs w:val="18"/>
              </w:rPr>
            </w:pPr>
            <w:r w:rsidRPr="005C456B">
              <w:rPr>
                <w:color w:val="000000"/>
                <w:sz w:val="18"/>
                <w:szCs w:val="18"/>
              </w:rPr>
              <w:t>6. Je-li ve lhůtě uvedené v odstavci 4 osoba povinná k dani uvedená v odst. 2 písm. c) nahrazena jinou osobou povinnou k dani, má se za to, že k přemístění ve smyslu článku 17 v okamžiku tohoto nahrazení nedochází, pokud:</w:t>
            </w:r>
          </w:p>
          <w:p w:rsidR="00D76EA9" w:rsidRPr="005C456B" w:rsidRDefault="00D76EA9" w:rsidP="00FA6D1E">
            <w:pPr>
              <w:spacing w:before="60"/>
              <w:jc w:val="both"/>
              <w:rPr>
                <w:color w:val="000000"/>
                <w:sz w:val="18"/>
                <w:szCs w:val="18"/>
              </w:rPr>
            </w:pPr>
            <w:r w:rsidRPr="005C456B">
              <w:rPr>
                <w:color w:val="000000"/>
                <w:sz w:val="18"/>
                <w:szCs w:val="18"/>
              </w:rPr>
              <w:t>a) jsou splněny všechny ostatní příslušné podmínky podle odstavce 2 a</w:t>
            </w:r>
          </w:p>
          <w:p w:rsidR="00D76EA9" w:rsidRPr="005C456B" w:rsidRDefault="00D76EA9" w:rsidP="00FA6D1E">
            <w:pPr>
              <w:spacing w:before="60"/>
              <w:jc w:val="both"/>
              <w:rPr>
                <w:color w:val="000000"/>
                <w:sz w:val="18"/>
                <w:szCs w:val="18"/>
              </w:rPr>
            </w:pPr>
            <w:r w:rsidRPr="005C456B">
              <w:rPr>
                <w:color w:val="000000"/>
                <w:sz w:val="18"/>
                <w:szCs w:val="18"/>
              </w:rPr>
              <w:t>b) osoba povinná k dani uvedená v odst. 2 písm. b) zaznamená toto nahrazení v evidenci podle čl. 243 odst. 3.</w:t>
            </w:r>
          </w:p>
          <w:p w:rsidR="00D76EA9" w:rsidRPr="005C456B" w:rsidRDefault="00D76EA9" w:rsidP="00FA6D1E">
            <w:pPr>
              <w:spacing w:before="60"/>
              <w:jc w:val="both"/>
              <w:rPr>
                <w:color w:val="000000"/>
                <w:sz w:val="18"/>
                <w:szCs w:val="18"/>
              </w:rPr>
            </w:pPr>
            <w:r w:rsidRPr="005C456B">
              <w:rPr>
                <w:color w:val="000000"/>
                <w:sz w:val="18"/>
                <w:szCs w:val="18"/>
              </w:rPr>
              <w:t>7. Jestliže během lhůty uvedené v odstavci 4 přestane být plněna kterákoli z podmínek uvedených v odstavcích 2 a 6, má se za to, že dochází k přemístění zboží podle článku 17 v okamžiku, kdy některá z těchto podmínek přestane být plněna.</w:t>
            </w:r>
          </w:p>
          <w:p w:rsidR="00D76EA9" w:rsidRPr="005C456B" w:rsidRDefault="00D76EA9" w:rsidP="00FA6D1E">
            <w:pPr>
              <w:spacing w:before="60"/>
              <w:jc w:val="both"/>
              <w:rPr>
                <w:color w:val="000000"/>
                <w:sz w:val="18"/>
                <w:szCs w:val="18"/>
              </w:rPr>
            </w:pPr>
            <w:r w:rsidRPr="005C456B">
              <w:rPr>
                <w:color w:val="000000"/>
                <w:sz w:val="18"/>
                <w:szCs w:val="18"/>
              </w:rPr>
              <w:t>Je-li zboží dodáno jiné osobě, než je osoba povinná k dani uvedená v odst. 2 písm. c) nebo v odstavci 6, má se za to, že podmínky uvedené v odstavcích 2 a 6 přestávají být splněny bezprostředně před tímto dodáním.</w:t>
            </w:r>
          </w:p>
          <w:p w:rsidR="00D76EA9" w:rsidRPr="005C456B" w:rsidRDefault="00D76EA9" w:rsidP="00FA6D1E">
            <w:pPr>
              <w:spacing w:before="60"/>
              <w:jc w:val="both"/>
              <w:rPr>
                <w:color w:val="000000"/>
                <w:sz w:val="18"/>
                <w:szCs w:val="18"/>
              </w:rPr>
            </w:pPr>
            <w:r w:rsidRPr="005C456B">
              <w:rPr>
                <w:color w:val="000000"/>
                <w:sz w:val="18"/>
                <w:szCs w:val="18"/>
              </w:rPr>
              <w:t>Je-li zboží odesláno nebo přepraveno do jiné země než členského státu, ze kterého bylo původně přesunuto, má se za to, že podmínky uvedené v odstavcích 2 a 6 přestávají být splněny bezprostředně předtím, než jsou takové odeslání nebo taková přeprava zahájeny.</w:t>
            </w:r>
          </w:p>
          <w:p w:rsidR="00D76EA9" w:rsidRPr="005C456B" w:rsidRDefault="00D76EA9" w:rsidP="00FA6D1E">
            <w:pPr>
              <w:spacing w:before="60"/>
              <w:jc w:val="both"/>
              <w:rPr>
                <w:color w:val="000000"/>
                <w:sz w:val="18"/>
                <w:szCs w:val="18"/>
              </w:rPr>
            </w:pPr>
            <w:r w:rsidRPr="005C456B">
              <w:rPr>
                <w:color w:val="000000"/>
                <w:sz w:val="18"/>
                <w:szCs w:val="18"/>
              </w:rPr>
              <w:t>V případě zničení, ztráty či krádeže zboží se má za to, že podmínky uvedené v odstavcích 2 a 6 přestávají být splněny v den, kdy bylo zboží skutečně odstraněno či zničeno, nebo nelze-li tento den určit, v den, kdy bylo zjištěno, že je zboží zničeno nebo že chybí.“</w:t>
            </w:r>
          </w:p>
        </w:tc>
        <w:tc>
          <w:tcPr>
            <w:tcW w:w="900" w:type="dxa"/>
            <w:tcBorders>
              <w:top w:val="single" w:sz="4" w:space="0" w:color="auto"/>
              <w:left w:val="single" w:sz="18" w:space="0" w:color="auto"/>
              <w:bottom w:val="nil"/>
              <w:right w:val="single" w:sz="4" w:space="0" w:color="auto"/>
            </w:tcBorders>
          </w:tcPr>
          <w:p w:rsidR="00D76EA9" w:rsidRDefault="00D76EA9">
            <w:pPr>
              <w:rPr>
                <w:sz w:val="18"/>
              </w:rPr>
            </w:pPr>
            <w:r w:rsidRPr="00D76EA9">
              <w:rPr>
                <w:sz w:val="18"/>
              </w:rPr>
              <w:lastRenderedPageBreak/>
              <w:t>9426</w:t>
            </w:r>
          </w:p>
        </w:tc>
        <w:tc>
          <w:tcPr>
            <w:tcW w:w="1080" w:type="dxa"/>
            <w:tcBorders>
              <w:top w:val="single" w:sz="4" w:space="0" w:color="auto"/>
              <w:left w:val="single" w:sz="4" w:space="0" w:color="auto"/>
              <w:bottom w:val="nil"/>
              <w:right w:val="single" w:sz="4" w:space="0" w:color="auto"/>
            </w:tcBorders>
          </w:tcPr>
          <w:p w:rsidR="00D76EA9" w:rsidRDefault="00D76EA9">
            <w:pPr>
              <w:rPr>
                <w:sz w:val="18"/>
              </w:rPr>
            </w:pPr>
          </w:p>
        </w:tc>
        <w:tc>
          <w:tcPr>
            <w:tcW w:w="5400" w:type="dxa"/>
            <w:gridSpan w:val="4"/>
            <w:tcBorders>
              <w:top w:val="single" w:sz="4" w:space="0" w:color="auto"/>
              <w:left w:val="single" w:sz="4" w:space="0" w:color="auto"/>
              <w:bottom w:val="nil"/>
              <w:right w:val="single" w:sz="4" w:space="0" w:color="auto"/>
            </w:tcBorders>
          </w:tcPr>
          <w:p w:rsidR="00D76EA9" w:rsidRDefault="00D76EA9">
            <w:pPr>
              <w:pStyle w:val="Zpat"/>
              <w:tabs>
                <w:tab w:val="clear" w:pos="4536"/>
                <w:tab w:val="clear" w:pos="9072"/>
              </w:tabs>
              <w:rPr>
                <w:sz w:val="18"/>
              </w:rPr>
            </w:pPr>
          </w:p>
        </w:tc>
        <w:tc>
          <w:tcPr>
            <w:tcW w:w="900" w:type="dxa"/>
            <w:tcBorders>
              <w:top w:val="single" w:sz="4" w:space="0" w:color="auto"/>
              <w:left w:val="single" w:sz="4" w:space="0" w:color="auto"/>
              <w:bottom w:val="nil"/>
              <w:right w:val="single" w:sz="4" w:space="0" w:color="auto"/>
            </w:tcBorders>
          </w:tcPr>
          <w:p w:rsidR="00D76EA9" w:rsidRDefault="003750A4">
            <w:pPr>
              <w:rPr>
                <w:sz w:val="18"/>
              </w:rPr>
            </w:pPr>
            <w:r>
              <w:rPr>
                <w:sz w:val="18"/>
              </w:rPr>
              <w:t>NT</w:t>
            </w:r>
          </w:p>
        </w:tc>
        <w:tc>
          <w:tcPr>
            <w:tcW w:w="720" w:type="dxa"/>
            <w:tcBorders>
              <w:top w:val="single" w:sz="4" w:space="0" w:color="auto"/>
              <w:left w:val="single" w:sz="4" w:space="0" w:color="auto"/>
              <w:bottom w:val="nil"/>
            </w:tcBorders>
          </w:tcPr>
          <w:p w:rsidR="00D76EA9" w:rsidRDefault="00D76EA9">
            <w:pPr>
              <w:rPr>
                <w:sz w:val="18"/>
              </w:rPr>
            </w:pPr>
          </w:p>
        </w:tc>
      </w:tr>
      <w:tr w:rsidR="007E6751">
        <w:tc>
          <w:tcPr>
            <w:tcW w:w="1440" w:type="dxa"/>
            <w:tcBorders>
              <w:top w:val="single" w:sz="4" w:space="0" w:color="auto"/>
              <w:bottom w:val="nil"/>
              <w:right w:val="single" w:sz="4" w:space="0" w:color="auto"/>
            </w:tcBorders>
          </w:tcPr>
          <w:p w:rsidR="007E6751" w:rsidRPr="00D76EA9" w:rsidRDefault="007E6751" w:rsidP="00D76EA9">
            <w:pPr>
              <w:rPr>
                <w:sz w:val="18"/>
              </w:rPr>
            </w:pPr>
            <w:r w:rsidRPr="00D76EA9">
              <w:rPr>
                <w:sz w:val="18"/>
              </w:rPr>
              <w:lastRenderedPageBreak/>
              <w:t xml:space="preserve">Článek 1 odst. </w:t>
            </w:r>
            <w:r>
              <w:rPr>
                <w:sz w:val="18"/>
              </w:rPr>
              <w:t>2</w:t>
            </w:r>
          </w:p>
          <w:p w:rsidR="007E6751" w:rsidRDefault="007E6751" w:rsidP="007E6751">
            <w:pPr>
              <w:rPr>
                <w:sz w:val="18"/>
              </w:rPr>
            </w:pPr>
            <w:r w:rsidRPr="00D76EA9">
              <w:rPr>
                <w:sz w:val="18"/>
              </w:rPr>
              <w:t>(čl. 3</w:t>
            </w:r>
            <w:r>
              <w:rPr>
                <w:sz w:val="18"/>
              </w:rPr>
              <w:t>6</w:t>
            </w:r>
            <w:r w:rsidRPr="00D76EA9">
              <w:rPr>
                <w:sz w:val="18"/>
              </w:rPr>
              <w:t>a)</w:t>
            </w:r>
          </w:p>
        </w:tc>
        <w:tc>
          <w:tcPr>
            <w:tcW w:w="5400" w:type="dxa"/>
            <w:gridSpan w:val="4"/>
            <w:tcBorders>
              <w:top w:val="single" w:sz="4" w:space="0" w:color="auto"/>
              <w:left w:val="single" w:sz="4" w:space="0" w:color="auto"/>
              <w:bottom w:val="nil"/>
              <w:right w:val="single" w:sz="18" w:space="0" w:color="auto"/>
            </w:tcBorders>
          </w:tcPr>
          <w:p w:rsidR="007E6751" w:rsidRPr="005C456B" w:rsidRDefault="007E6751" w:rsidP="00FA6D1E">
            <w:pPr>
              <w:spacing w:before="60"/>
              <w:jc w:val="both"/>
              <w:rPr>
                <w:color w:val="000000"/>
                <w:sz w:val="18"/>
                <w:szCs w:val="18"/>
              </w:rPr>
            </w:pPr>
            <w:r w:rsidRPr="005C456B">
              <w:rPr>
                <w:color w:val="000000"/>
                <w:sz w:val="18"/>
                <w:szCs w:val="18"/>
              </w:rPr>
              <w:t>2) V hlavě V kapitole 1 oddílu 2 se vkládá nový článek, který zní:</w:t>
            </w:r>
          </w:p>
          <w:p w:rsidR="007E6751" w:rsidRPr="005C456B" w:rsidRDefault="007E6751" w:rsidP="00FA6D1E">
            <w:pPr>
              <w:spacing w:before="60"/>
              <w:jc w:val="center"/>
              <w:rPr>
                <w:i/>
                <w:iCs/>
                <w:color w:val="000000"/>
                <w:sz w:val="18"/>
                <w:szCs w:val="18"/>
              </w:rPr>
            </w:pPr>
            <w:r w:rsidRPr="005C456B">
              <w:rPr>
                <w:i/>
                <w:iCs/>
                <w:color w:val="000000"/>
                <w:sz w:val="18"/>
                <w:szCs w:val="18"/>
              </w:rPr>
              <w:t>„Článek 36a</w:t>
            </w:r>
          </w:p>
          <w:p w:rsidR="007E6751" w:rsidRPr="005C456B" w:rsidRDefault="007E6751" w:rsidP="00FA6D1E">
            <w:pPr>
              <w:spacing w:before="60"/>
              <w:jc w:val="both"/>
              <w:rPr>
                <w:color w:val="000000"/>
                <w:sz w:val="18"/>
                <w:szCs w:val="18"/>
              </w:rPr>
            </w:pPr>
            <w:r w:rsidRPr="005C456B">
              <w:rPr>
                <w:color w:val="000000"/>
                <w:sz w:val="18"/>
                <w:szCs w:val="18"/>
              </w:rPr>
              <w:t xml:space="preserve">1. Je-li totéž zboží předmětem po sobě následujících dodání, přičemž je odesíláno nebo přepravováno z jednoho členského státu do jiného členského státu od prvního dodavatele přímo konečnému pořizovateli v řetězci, připíše se odeslání nebo přeprava pouze k dodání </w:t>
            </w:r>
            <w:r w:rsidRPr="005C456B">
              <w:rPr>
                <w:color w:val="000000"/>
                <w:sz w:val="18"/>
                <w:szCs w:val="18"/>
              </w:rPr>
              <w:lastRenderedPageBreak/>
              <w:t>zprostředkujícímu subjektu.</w:t>
            </w:r>
          </w:p>
          <w:p w:rsidR="007E6751" w:rsidRPr="005C456B" w:rsidRDefault="007E6751" w:rsidP="00FA6D1E">
            <w:pPr>
              <w:spacing w:before="60"/>
              <w:jc w:val="both"/>
              <w:rPr>
                <w:color w:val="000000"/>
                <w:sz w:val="18"/>
                <w:szCs w:val="18"/>
              </w:rPr>
            </w:pPr>
            <w:r w:rsidRPr="005C456B">
              <w:rPr>
                <w:color w:val="000000"/>
                <w:sz w:val="18"/>
                <w:szCs w:val="18"/>
              </w:rPr>
              <w:t>2. Odchylně od odstavce 1 se odeslání nebo přeprava připíše pouze k dodání zboží zprostředkujícím subjektem, pokud tento subjekt dodavateli sdělil své identifikační číslo pro DPH, které mu vydal členský stát, ze kterého je zboží odesláno nebo přepraveno.</w:t>
            </w:r>
          </w:p>
          <w:p w:rsidR="007E6751" w:rsidRPr="005C456B" w:rsidRDefault="007E6751" w:rsidP="00FA6D1E">
            <w:pPr>
              <w:spacing w:before="60"/>
              <w:jc w:val="both"/>
              <w:rPr>
                <w:color w:val="000000"/>
                <w:sz w:val="18"/>
                <w:szCs w:val="18"/>
              </w:rPr>
            </w:pPr>
            <w:r w:rsidRPr="005C456B">
              <w:rPr>
                <w:color w:val="000000"/>
                <w:sz w:val="18"/>
                <w:szCs w:val="18"/>
              </w:rPr>
              <w:t>3. Pro účely tohoto článku se „zprostředkujícím subjektem“ rozumí dodavatel v rámci řetězce, který není prvním dodavatelem v tomto řetězci, a který zboží odesílá nebo přepravuje sám, nebo na svůj účet prostřednictvím třetí osoby.</w:t>
            </w:r>
          </w:p>
          <w:p w:rsidR="007E6751" w:rsidRPr="005C456B" w:rsidRDefault="007E6751" w:rsidP="00FA6D1E">
            <w:pPr>
              <w:spacing w:before="60"/>
              <w:jc w:val="both"/>
              <w:rPr>
                <w:color w:val="000000"/>
                <w:sz w:val="18"/>
                <w:szCs w:val="18"/>
              </w:rPr>
            </w:pPr>
            <w:r w:rsidRPr="005C456B">
              <w:rPr>
                <w:color w:val="000000"/>
                <w:sz w:val="18"/>
                <w:szCs w:val="18"/>
              </w:rPr>
              <w:t>4. Tento článek se nepoužije na situace, na něž se vztahuje článek 14a.“</w:t>
            </w:r>
          </w:p>
        </w:tc>
        <w:tc>
          <w:tcPr>
            <w:tcW w:w="900" w:type="dxa"/>
            <w:tcBorders>
              <w:top w:val="single" w:sz="4" w:space="0" w:color="auto"/>
              <w:left w:val="single" w:sz="18" w:space="0" w:color="auto"/>
              <w:bottom w:val="nil"/>
              <w:right w:val="single" w:sz="4" w:space="0" w:color="auto"/>
            </w:tcBorders>
          </w:tcPr>
          <w:p w:rsidR="007E6751" w:rsidRPr="00D76EA9" w:rsidRDefault="002469F2">
            <w:pPr>
              <w:rPr>
                <w:sz w:val="18"/>
              </w:rPr>
            </w:pPr>
            <w:r w:rsidRPr="002469F2">
              <w:rPr>
                <w:sz w:val="18"/>
              </w:rPr>
              <w:lastRenderedPageBreak/>
              <w:t>9426</w:t>
            </w:r>
          </w:p>
        </w:tc>
        <w:tc>
          <w:tcPr>
            <w:tcW w:w="1080" w:type="dxa"/>
            <w:tcBorders>
              <w:top w:val="single" w:sz="4" w:space="0" w:color="auto"/>
              <w:left w:val="single" w:sz="4" w:space="0" w:color="auto"/>
              <w:bottom w:val="nil"/>
              <w:right w:val="single" w:sz="4" w:space="0" w:color="auto"/>
            </w:tcBorders>
          </w:tcPr>
          <w:p w:rsidR="007E6751" w:rsidRDefault="007E6751">
            <w:pPr>
              <w:rPr>
                <w:sz w:val="18"/>
              </w:rPr>
            </w:pPr>
          </w:p>
        </w:tc>
        <w:tc>
          <w:tcPr>
            <w:tcW w:w="5400" w:type="dxa"/>
            <w:gridSpan w:val="4"/>
            <w:tcBorders>
              <w:top w:val="single" w:sz="4" w:space="0" w:color="auto"/>
              <w:left w:val="single" w:sz="4" w:space="0" w:color="auto"/>
              <w:bottom w:val="nil"/>
              <w:right w:val="single" w:sz="4" w:space="0" w:color="auto"/>
            </w:tcBorders>
          </w:tcPr>
          <w:p w:rsidR="007E6751" w:rsidRDefault="007E6751">
            <w:pPr>
              <w:pStyle w:val="Zpat"/>
              <w:tabs>
                <w:tab w:val="clear" w:pos="4536"/>
                <w:tab w:val="clear" w:pos="9072"/>
              </w:tabs>
              <w:rPr>
                <w:sz w:val="18"/>
              </w:rPr>
            </w:pPr>
          </w:p>
        </w:tc>
        <w:tc>
          <w:tcPr>
            <w:tcW w:w="900" w:type="dxa"/>
            <w:tcBorders>
              <w:top w:val="single" w:sz="4" w:space="0" w:color="auto"/>
              <w:left w:val="single" w:sz="4" w:space="0" w:color="auto"/>
              <w:bottom w:val="nil"/>
              <w:right w:val="single" w:sz="4" w:space="0" w:color="auto"/>
            </w:tcBorders>
          </w:tcPr>
          <w:p w:rsidR="007E6751" w:rsidRDefault="003750A4">
            <w:pPr>
              <w:rPr>
                <w:sz w:val="18"/>
              </w:rPr>
            </w:pPr>
            <w:r>
              <w:rPr>
                <w:sz w:val="18"/>
              </w:rPr>
              <w:t>NT</w:t>
            </w:r>
          </w:p>
        </w:tc>
        <w:tc>
          <w:tcPr>
            <w:tcW w:w="720" w:type="dxa"/>
            <w:tcBorders>
              <w:top w:val="single" w:sz="4" w:space="0" w:color="auto"/>
              <w:left w:val="single" w:sz="4" w:space="0" w:color="auto"/>
              <w:bottom w:val="nil"/>
            </w:tcBorders>
          </w:tcPr>
          <w:p w:rsidR="007E6751" w:rsidRDefault="007E6751">
            <w:pPr>
              <w:rPr>
                <w:sz w:val="18"/>
              </w:rPr>
            </w:pPr>
          </w:p>
        </w:tc>
      </w:tr>
      <w:tr w:rsidR="007E6751" w:rsidTr="003D4236">
        <w:tc>
          <w:tcPr>
            <w:tcW w:w="1440" w:type="dxa"/>
            <w:tcBorders>
              <w:top w:val="single" w:sz="4" w:space="0" w:color="auto"/>
              <w:bottom w:val="nil"/>
              <w:right w:val="single" w:sz="4" w:space="0" w:color="auto"/>
            </w:tcBorders>
          </w:tcPr>
          <w:p w:rsidR="007E6751" w:rsidRPr="007E6751" w:rsidRDefault="007E6751" w:rsidP="007E6751">
            <w:pPr>
              <w:rPr>
                <w:sz w:val="18"/>
              </w:rPr>
            </w:pPr>
            <w:r w:rsidRPr="007E6751">
              <w:rPr>
                <w:sz w:val="18"/>
              </w:rPr>
              <w:lastRenderedPageBreak/>
              <w:t xml:space="preserve">Článek 1 odst. </w:t>
            </w:r>
            <w:r>
              <w:rPr>
                <w:sz w:val="18"/>
              </w:rPr>
              <w:t>3</w:t>
            </w:r>
          </w:p>
          <w:p w:rsidR="007E6751" w:rsidRDefault="007E6751" w:rsidP="007E6751">
            <w:pPr>
              <w:rPr>
                <w:sz w:val="18"/>
              </w:rPr>
            </w:pPr>
            <w:r w:rsidRPr="007E6751">
              <w:rPr>
                <w:sz w:val="18"/>
              </w:rPr>
              <w:t xml:space="preserve">(čl. </w:t>
            </w:r>
            <w:r>
              <w:rPr>
                <w:sz w:val="18"/>
              </w:rPr>
              <w:t>138</w:t>
            </w:r>
            <w:r w:rsidRPr="007E6751">
              <w:rPr>
                <w:sz w:val="18"/>
              </w:rPr>
              <w:t>)</w:t>
            </w:r>
          </w:p>
        </w:tc>
        <w:tc>
          <w:tcPr>
            <w:tcW w:w="5400" w:type="dxa"/>
            <w:gridSpan w:val="4"/>
            <w:tcBorders>
              <w:top w:val="single" w:sz="4" w:space="0" w:color="auto"/>
              <w:left w:val="single" w:sz="4" w:space="0" w:color="auto"/>
              <w:bottom w:val="nil"/>
              <w:right w:val="single" w:sz="18" w:space="0" w:color="auto"/>
            </w:tcBorders>
          </w:tcPr>
          <w:p w:rsidR="007E6751" w:rsidRPr="005C456B" w:rsidRDefault="007E6751" w:rsidP="00FA6D1E">
            <w:pPr>
              <w:spacing w:before="60"/>
              <w:jc w:val="both"/>
              <w:rPr>
                <w:color w:val="000000"/>
                <w:sz w:val="18"/>
                <w:szCs w:val="18"/>
              </w:rPr>
            </w:pPr>
            <w:r w:rsidRPr="005C456B">
              <w:rPr>
                <w:color w:val="000000"/>
                <w:sz w:val="18"/>
                <w:szCs w:val="18"/>
              </w:rPr>
              <w:t>3) Článek 138 se mění takto:</w:t>
            </w:r>
          </w:p>
          <w:p w:rsidR="007E6751" w:rsidRPr="005C456B" w:rsidRDefault="007E6751" w:rsidP="00FA6D1E">
            <w:pPr>
              <w:spacing w:before="60"/>
              <w:jc w:val="both"/>
              <w:rPr>
                <w:color w:val="000000"/>
                <w:sz w:val="18"/>
                <w:szCs w:val="18"/>
              </w:rPr>
            </w:pPr>
            <w:r w:rsidRPr="005C456B">
              <w:rPr>
                <w:color w:val="000000"/>
                <w:sz w:val="18"/>
                <w:szCs w:val="18"/>
              </w:rPr>
              <w:t>a) odstavec 1 se nahrazuje tímto:</w:t>
            </w:r>
          </w:p>
          <w:p w:rsidR="007E6751" w:rsidRPr="005C456B" w:rsidRDefault="007E6751" w:rsidP="00FA6D1E">
            <w:pPr>
              <w:spacing w:before="60"/>
              <w:jc w:val="both"/>
              <w:rPr>
                <w:color w:val="000000"/>
                <w:sz w:val="18"/>
                <w:szCs w:val="18"/>
              </w:rPr>
            </w:pPr>
            <w:r w:rsidRPr="005C456B">
              <w:rPr>
                <w:color w:val="000000"/>
                <w:sz w:val="18"/>
                <w:szCs w:val="18"/>
              </w:rPr>
              <w:t>„1. Členské státy osvobodí od daně dodání zboží, které bylo odesláno nebo přepraveno mimo jejich území, avšak uvnitř Společenství, prodávajícím nebo pořizovatelem nebo na účet jednoho z nich, jsou-li splněny následující podmínky:</w:t>
            </w:r>
          </w:p>
          <w:p w:rsidR="007E6751" w:rsidRPr="005C456B" w:rsidRDefault="007E6751" w:rsidP="00FA6D1E">
            <w:pPr>
              <w:spacing w:before="60"/>
              <w:jc w:val="both"/>
              <w:rPr>
                <w:color w:val="000000"/>
                <w:sz w:val="18"/>
                <w:szCs w:val="18"/>
              </w:rPr>
            </w:pPr>
            <w:r w:rsidRPr="005C456B">
              <w:rPr>
                <w:color w:val="000000"/>
                <w:sz w:val="18"/>
                <w:szCs w:val="18"/>
              </w:rPr>
              <w:t>a) zboží je dodáváno jiné osobě povinné k dani nebo právnické osobě nepovinné k dani, která jedná jako taková, v jiném členském státě než ve státě zahájení odeslání nebo přepravy zboží;</w:t>
            </w:r>
          </w:p>
          <w:p w:rsidR="007E6751" w:rsidRPr="005C456B" w:rsidRDefault="007E6751" w:rsidP="00FA6D1E">
            <w:pPr>
              <w:spacing w:before="60"/>
              <w:jc w:val="both"/>
              <w:rPr>
                <w:color w:val="000000"/>
                <w:sz w:val="18"/>
                <w:szCs w:val="18"/>
              </w:rPr>
            </w:pPr>
            <w:r w:rsidRPr="005C456B">
              <w:rPr>
                <w:color w:val="000000"/>
                <w:sz w:val="18"/>
                <w:szCs w:val="18"/>
              </w:rPr>
              <w:t>b) osoba povinná k dani nebo právnická osoba nepovinná k dani, pro niž se dodání uskutečňuje, je identifikována pro účely DPH v jiném členském státě, než ve státě zahájení odeslání nebo přepravy zboží, a toto identifikační číslo pro DPH sdělila dodavateli.“;</w:t>
            </w:r>
          </w:p>
          <w:p w:rsidR="007E6751" w:rsidRPr="005C456B" w:rsidRDefault="007E6751" w:rsidP="00FA6D1E">
            <w:pPr>
              <w:spacing w:before="60"/>
              <w:jc w:val="both"/>
              <w:rPr>
                <w:color w:val="000000"/>
                <w:sz w:val="18"/>
                <w:szCs w:val="18"/>
              </w:rPr>
            </w:pPr>
            <w:r w:rsidRPr="005C456B">
              <w:rPr>
                <w:color w:val="000000"/>
                <w:sz w:val="18"/>
                <w:szCs w:val="18"/>
              </w:rPr>
              <w:t>b) vkládá se nový odstavec, který zní:</w:t>
            </w:r>
          </w:p>
          <w:p w:rsidR="007E6751" w:rsidRPr="005C456B" w:rsidRDefault="007E6751" w:rsidP="00FA6D1E">
            <w:pPr>
              <w:spacing w:before="60"/>
              <w:jc w:val="both"/>
              <w:rPr>
                <w:color w:val="000000"/>
                <w:sz w:val="18"/>
                <w:szCs w:val="18"/>
              </w:rPr>
            </w:pPr>
            <w:r w:rsidRPr="005C456B">
              <w:rPr>
                <w:color w:val="000000"/>
                <w:sz w:val="18"/>
                <w:szCs w:val="18"/>
              </w:rPr>
              <w:t>„1a. Osvobození podle odstavce 1 se neuplatní, pokud dodavatel nesplnil povinnost podle článků 262 a 263 podat souhrnné hlášení nebo pokud jím podané souhrnné hlášení neobsahuje správné údaje týkající se tohoto dodání, jak požaduje článek 264, pokud dodavatel nemůže ke spokojenosti příslušných orgánů nedostatky řádně odůvodnit.“</w:t>
            </w:r>
          </w:p>
        </w:tc>
        <w:tc>
          <w:tcPr>
            <w:tcW w:w="900" w:type="dxa"/>
            <w:tcBorders>
              <w:top w:val="single" w:sz="4" w:space="0" w:color="auto"/>
              <w:left w:val="single" w:sz="18" w:space="0" w:color="auto"/>
              <w:bottom w:val="nil"/>
              <w:right w:val="single" w:sz="4" w:space="0" w:color="auto"/>
            </w:tcBorders>
          </w:tcPr>
          <w:p w:rsidR="007E6751" w:rsidRDefault="002469F2">
            <w:pPr>
              <w:rPr>
                <w:sz w:val="18"/>
              </w:rPr>
            </w:pPr>
            <w:r w:rsidRPr="002469F2">
              <w:rPr>
                <w:sz w:val="18"/>
              </w:rPr>
              <w:t>9426</w:t>
            </w:r>
          </w:p>
        </w:tc>
        <w:tc>
          <w:tcPr>
            <w:tcW w:w="1080" w:type="dxa"/>
            <w:tcBorders>
              <w:top w:val="single" w:sz="4" w:space="0" w:color="auto"/>
              <w:left w:val="single" w:sz="4" w:space="0" w:color="auto"/>
              <w:bottom w:val="nil"/>
              <w:right w:val="single" w:sz="4" w:space="0" w:color="auto"/>
            </w:tcBorders>
          </w:tcPr>
          <w:p w:rsidR="007E6751" w:rsidRDefault="007E6751">
            <w:pPr>
              <w:rPr>
                <w:sz w:val="18"/>
              </w:rPr>
            </w:pPr>
          </w:p>
        </w:tc>
        <w:tc>
          <w:tcPr>
            <w:tcW w:w="5400" w:type="dxa"/>
            <w:gridSpan w:val="4"/>
            <w:tcBorders>
              <w:top w:val="single" w:sz="4" w:space="0" w:color="auto"/>
              <w:left w:val="single" w:sz="4" w:space="0" w:color="auto"/>
              <w:bottom w:val="nil"/>
              <w:right w:val="single" w:sz="4" w:space="0" w:color="auto"/>
            </w:tcBorders>
          </w:tcPr>
          <w:p w:rsidR="007E6751" w:rsidRDefault="007E6751">
            <w:pPr>
              <w:rPr>
                <w:sz w:val="18"/>
              </w:rPr>
            </w:pPr>
          </w:p>
        </w:tc>
        <w:tc>
          <w:tcPr>
            <w:tcW w:w="900" w:type="dxa"/>
            <w:tcBorders>
              <w:top w:val="single" w:sz="4" w:space="0" w:color="auto"/>
              <w:left w:val="single" w:sz="4" w:space="0" w:color="auto"/>
              <w:bottom w:val="nil"/>
              <w:right w:val="single" w:sz="4" w:space="0" w:color="auto"/>
            </w:tcBorders>
          </w:tcPr>
          <w:p w:rsidR="007E6751" w:rsidRDefault="003750A4">
            <w:pPr>
              <w:rPr>
                <w:sz w:val="18"/>
              </w:rPr>
            </w:pPr>
            <w:r>
              <w:rPr>
                <w:sz w:val="18"/>
              </w:rPr>
              <w:t>NT</w:t>
            </w:r>
          </w:p>
        </w:tc>
        <w:tc>
          <w:tcPr>
            <w:tcW w:w="720" w:type="dxa"/>
            <w:tcBorders>
              <w:top w:val="single" w:sz="4" w:space="0" w:color="auto"/>
              <w:left w:val="single" w:sz="4" w:space="0" w:color="auto"/>
              <w:bottom w:val="nil"/>
            </w:tcBorders>
          </w:tcPr>
          <w:p w:rsidR="007E6751" w:rsidRDefault="007E6751">
            <w:pPr>
              <w:rPr>
                <w:sz w:val="18"/>
              </w:rPr>
            </w:pPr>
          </w:p>
        </w:tc>
      </w:tr>
      <w:tr w:rsidR="00FA7EC9" w:rsidTr="003D4236">
        <w:tc>
          <w:tcPr>
            <w:tcW w:w="1440" w:type="dxa"/>
            <w:tcBorders>
              <w:top w:val="single" w:sz="4" w:space="0" w:color="auto"/>
              <w:bottom w:val="nil"/>
              <w:right w:val="single" w:sz="4" w:space="0" w:color="auto"/>
            </w:tcBorders>
          </w:tcPr>
          <w:p w:rsidR="00FA7EC9" w:rsidRPr="007E6751" w:rsidRDefault="00FA7EC9" w:rsidP="007E6751">
            <w:pPr>
              <w:rPr>
                <w:sz w:val="18"/>
              </w:rPr>
            </w:pPr>
            <w:r w:rsidRPr="007E6751">
              <w:rPr>
                <w:sz w:val="18"/>
              </w:rPr>
              <w:t xml:space="preserve">Článek 1 odst. </w:t>
            </w:r>
            <w:r>
              <w:rPr>
                <w:sz w:val="18"/>
              </w:rPr>
              <w:t>4</w:t>
            </w:r>
          </w:p>
          <w:p w:rsidR="00FA7EC9" w:rsidRDefault="00FA7EC9" w:rsidP="00FA7EC9">
            <w:pPr>
              <w:rPr>
                <w:sz w:val="18"/>
              </w:rPr>
            </w:pPr>
            <w:r w:rsidRPr="007E6751">
              <w:rPr>
                <w:sz w:val="18"/>
              </w:rPr>
              <w:t>(čl.</w:t>
            </w:r>
            <w:r>
              <w:rPr>
                <w:sz w:val="18"/>
              </w:rPr>
              <w:t xml:space="preserve"> 243</w:t>
            </w:r>
            <w:r w:rsidRPr="007E6751">
              <w:rPr>
                <w:sz w:val="18"/>
              </w:rPr>
              <w:t>)</w:t>
            </w:r>
          </w:p>
        </w:tc>
        <w:tc>
          <w:tcPr>
            <w:tcW w:w="5400" w:type="dxa"/>
            <w:gridSpan w:val="4"/>
            <w:tcBorders>
              <w:top w:val="single" w:sz="4" w:space="0" w:color="auto"/>
              <w:left w:val="single" w:sz="4" w:space="0" w:color="auto"/>
              <w:bottom w:val="nil"/>
              <w:right w:val="single" w:sz="18" w:space="0" w:color="auto"/>
            </w:tcBorders>
          </w:tcPr>
          <w:p w:rsidR="00FA7EC9" w:rsidRPr="005C456B" w:rsidRDefault="00FA7EC9" w:rsidP="00FA6D1E">
            <w:pPr>
              <w:spacing w:before="60"/>
              <w:jc w:val="both"/>
              <w:rPr>
                <w:color w:val="000000"/>
                <w:sz w:val="18"/>
                <w:szCs w:val="18"/>
              </w:rPr>
            </w:pPr>
            <w:r w:rsidRPr="005C456B">
              <w:rPr>
                <w:color w:val="000000"/>
                <w:sz w:val="18"/>
                <w:szCs w:val="18"/>
              </w:rPr>
              <w:t>4) V článku 243 se doplňuje nový odstavec, který zní:</w:t>
            </w:r>
          </w:p>
          <w:p w:rsidR="00FA7EC9" w:rsidRPr="005C456B" w:rsidRDefault="00FA7EC9" w:rsidP="00FA6D1E">
            <w:pPr>
              <w:spacing w:before="60"/>
              <w:jc w:val="both"/>
              <w:rPr>
                <w:color w:val="000000"/>
                <w:sz w:val="18"/>
                <w:szCs w:val="18"/>
              </w:rPr>
            </w:pPr>
            <w:r w:rsidRPr="005C456B">
              <w:rPr>
                <w:color w:val="000000"/>
                <w:sz w:val="18"/>
                <w:szCs w:val="18"/>
              </w:rPr>
              <w:t>„3. Každá osoba povinná k dani, která přemísťuje zboží v režimu call-</w:t>
            </w:r>
            <w:proofErr w:type="spellStart"/>
            <w:r w:rsidRPr="005C456B">
              <w:rPr>
                <w:color w:val="000000"/>
                <w:sz w:val="18"/>
                <w:szCs w:val="18"/>
              </w:rPr>
              <w:t>off</w:t>
            </w:r>
            <w:proofErr w:type="spellEnd"/>
            <w:r w:rsidRPr="005C456B">
              <w:rPr>
                <w:color w:val="000000"/>
                <w:sz w:val="18"/>
                <w:szCs w:val="18"/>
              </w:rPr>
              <w:t xml:space="preserve"> </w:t>
            </w:r>
            <w:proofErr w:type="spellStart"/>
            <w:r w:rsidRPr="005C456B">
              <w:rPr>
                <w:color w:val="000000"/>
                <w:sz w:val="18"/>
                <w:szCs w:val="18"/>
              </w:rPr>
              <w:t>stock</w:t>
            </w:r>
            <w:proofErr w:type="spellEnd"/>
            <w:r w:rsidRPr="005C456B">
              <w:rPr>
                <w:color w:val="000000"/>
                <w:sz w:val="18"/>
                <w:szCs w:val="18"/>
              </w:rPr>
              <w:t xml:space="preserve"> uvedeném v článku 17a, vede evidenci, jež správcům daně umožňuje ověřit správné uplatňování uvedeného článku.</w:t>
            </w:r>
          </w:p>
          <w:p w:rsidR="00FA7EC9" w:rsidRPr="005C456B" w:rsidRDefault="00FA7EC9" w:rsidP="00FA6D1E">
            <w:pPr>
              <w:spacing w:before="60"/>
              <w:jc w:val="both"/>
              <w:rPr>
                <w:color w:val="000000"/>
                <w:sz w:val="18"/>
                <w:szCs w:val="18"/>
              </w:rPr>
            </w:pPr>
            <w:r w:rsidRPr="005C456B">
              <w:rPr>
                <w:color w:val="000000"/>
                <w:sz w:val="18"/>
                <w:szCs w:val="18"/>
              </w:rPr>
              <w:t>Každá osoba povinná k dani, které je dodáváno zboží v režimu call-</w:t>
            </w:r>
            <w:proofErr w:type="spellStart"/>
            <w:r w:rsidRPr="005C456B">
              <w:rPr>
                <w:color w:val="000000"/>
                <w:sz w:val="18"/>
                <w:szCs w:val="18"/>
              </w:rPr>
              <w:t>off</w:t>
            </w:r>
            <w:proofErr w:type="spellEnd"/>
            <w:r w:rsidRPr="005C456B">
              <w:rPr>
                <w:color w:val="000000"/>
                <w:sz w:val="18"/>
                <w:szCs w:val="18"/>
              </w:rPr>
              <w:t xml:space="preserve"> </w:t>
            </w:r>
            <w:proofErr w:type="spellStart"/>
            <w:r w:rsidRPr="005C456B">
              <w:rPr>
                <w:color w:val="000000"/>
                <w:sz w:val="18"/>
                <w:szCs w:val="18"/>
              </w:rPr>
              <w:t>stock</w:t>
            </w:r>
            <w:proofErr w:type="spellEnd"/>
            <w:r w:rsidRPr="005C456B">
              <w:rPr>
                <w:color w:val="000000"/>
                <w:sz w:val="18"/>
                <w:szCs w:val="18"/>
              </w:rPr>
              <w:t xml:space="preserve"> uvedeném v článku 17a, vede evidenci tohoto zboží.“</w:t>
            </w:r>
          </w:p>
        </w:tc>
        <w:tc>
          <w:tcPr>
            <w:tcW w:w="900" w:type="dxa"/>
            <w:tcBorders>
              <w:top w:val="single" w:sz="4" w:space="0" w:color="auto"/>
              <w:left w:val="single" w:sz="18" w:space="0" w:color="auto"/>
              <w:bottom w:val="nil"/>
              <w:right w:val="single" w:sz="4" w:space="0" w:color="auto"/>
            </w:tcBorders>
          </w:tcPr>
          <w:p w:rsidR="00FA7EC9" w:rsidRDefault="002469F2">
            <w:pPr>
              <w:rPr>
                <w:sz w:val="18"/>
              </w:rPr>
            </w:pPr>
            <w:r w:rsidRPr="002469F2">
              <w:rPr>
                <w:sz w:val="18"/>
              </w:rPr>
              <w:t>9426</w:t>
            </w:r>
          </w:p>
        </w:tc>
        <w:tc>
          <w:tcPr>
            <w:tcW w:w="1080" w:type="dxa"/>
            <w:tcBorders>
              <w:top w:val="single" w:sz="4" w:space="0" w:color="auto"/>
              <w:left w:val="single" w:sz="4" w:space="0" w:color="auto"/>
              <w:bottom w:val="nil"/>
              <w:right w:val="single" w:sz="4" w:space="0" w:color="auto"/>
            </w:tcBorders>
          </w:tcPr>
          <w:p w:rsidR="00FA7EC9" w:rsidRDefault="00FA7EC9">
            <w:pPr>
              <w:rPr>
                <w:sz w:val="18"/>
              </w:rPr>
            </w:pPr>
          </w:p>
        </w:tc>
        <w:tc>
          <w:tcPr>
            <w:tcW w:w="5400" w:type="dxa"/>
            <w:gridSpan w:val="4"/>
            <w:tcBorders>
              <w:top w:val="single" w:sz="4" w:space="0" w:color="auto"/>
              <w:left w:val="single" w:sz="4" w:space="0" w:color="auto"/>
              <w:bottom w:val="nil"/>
              <w:right w:val="single" w:sz="4" w:space="0" w:color="auto"/>
            </w:tcBorders>
          </w:tcPr>
          <w:p w:rsidR="00FA7EC9" w:rsidRDefault="00FA7EC9">
            <w:pPr>
              <w:rPr>
                <w:sz w:val="18"/>
              </w:rPr>
            </w:pPr>
          </w:p>
        </w:tc>
        <w:tc>
          <w:tcPr>
            <w:tcW w:w="900" w:type="dxa"/>
            <w:tcBorders>
              <w:top w:val="single" w:sz="4" w:space="0" w:color="auto"/>
              <w:left w:val="single" w:sz="4" w:space="0" w:color="auto"/>
              <w:bottom w:val="nil"/>
              <w:right w:val="single" w:sz="4" w:space="0" w:color="auto"/>
            </w:tcBorders>
          </w:tcPr>
          <w:p w:rsidR="00FA7EC9" w:rsidRDefault="003750A4">
            <w:pPr>
              <w:rPr>
                <w:sz w:val="18"/>
              </w:rPr>
            </w:pPr>
            <w:r>
              <w:rPr>
                <w:sz w:val="18"/>
              </w:rPr>
              <w:t>NT</w:t>
            </w:r>
          </w:p>
        </w:tc>
        <w:tc>
          <w:tcPr>
            <w:tcW w:w="720" w:type="dxa"/>
            <w:tcBorders>
              <w:top w:val="single" w:sz="4" w:space="0" w:color="auto"/>
              <w:left w:val="single" w:sz="4" w:space="0" w:color="auto"/>
              <w:bottom w:val="nil"/>
            </w:tcBorders>
          </w:tcPr>
          <w:p w:rsidR="00FA7EC9" w:rsidRDefault="00FA7EC9">
            <w:pPr>
              <w:rPr>
                <w:sz w:val="18"/>
              </w:rPr>
            </w:pPr>
          </w:p>
        </w:tc>
      </w:tr>
      <w:tr w:rsidR="004F61BB" w:rsidTr="003D4236">
        <w:tc>
          <w:tcPr>
            <w:tcW w:w="1440" w:type="dxa"/>
            <w:tcBorders>
              <w:top w:val="single" w:sz="4" w:space="0" w:color="auto"/>
              <w:bottom w:val="nil"/>
              <w:right w:val="single" w:sz="4" w:space="0" w:color="auto"/>
            </w:tcBorders>
          </w:tcPr>
          <w:p w:rsidR="004F61BB" w:rsidRPr="007E6751" w:rsidRDefault="004F61BB" w:rsidP="007E6751">
            <w:pPr>
              <w:rPr>
                <w:sz w:val="18"/>
              </w:rPr>
            </w:pPr>
            <w:r w:rsidRPr="007E6751">
              <w:rPr>
                <w:sz w:val="18"/>
              </w:rPr>
              <w:t xml:space="preserve">Článek 1 odst. </w:t>
            </w:r>
            <w:r>
              <w:rPr>
                <w:sz w:val="18"/>
              </w:rPr>
              <w:t>5</w:t>
            </w:r>
          </w:p>
          <w:p w:rsidR="004F61BB" w:rsidRDefault="004F61BB" w:rsidP="004F61BB">
            <w:pPr>
              <w:rPr>
                <w:sz w:val="18"/>
              </w:rPr>
            </w:pPr>
            <w:r w:rsidRPr="007E6751">
              <w:rPr>
                <w:sz w:val="18"/>
              </w:rPr>
              <w:t>(čl.</w:t>
            </w:r>
            <w:r>
              <w:rPr>
                <w:sz w:val="18"/>
              </w:rPr>
              <w:t xml:space="preserve"> 262</w:t>
            </w:r>
            <w:r w:rsidRPr="007E6751">
              <w:rPr>
                <w:sz w:val="18"/>
              </w:rPr>
              <w:t>)</w:t>
            </w:r>
          </w:p>
        </w:tc>
        <w:tc>
          <w:tcPr>
            <w:tcW w:w="5400" w:type="dxa"/>
            <w:gridSpan w:val="4"/>
            <w:tcBorders>
              <w:top w:val="single" w:sz="4" w:space="0" w:color="auto"/>
              <w:left w:val="single" w:sz="4" w:space="0" w:color="auto"/>
              <w:bottom w:val="nil"/>
              <w:right w:val="single" w:sz="18" w:space="0" w:color="auto"/>
            </w:tcBorders>
          </w:tcPr>
          <w:p w:rsidR="004F61BB" w:rsidRPr="005C456B" w:rsidRDefault="004F61BB" w:rsidP="00FA6D1E">
            <w:pPr>
              <w:spacing w:before="60"/>
              <w:jc w:val="both"/>
              <w:rPr>
                <w:color w:val="000000"/>
                <w:sz w:val="18"/>
                <w:szCs w:val="18"/>
              </w:rPr>
            </w:pPr>
            <w:r w:rsidRPr="005C456B">
              <w:rPr>
                <w:color w:val="000000"/>
                <w:sz w:val="18"/>
                <w:szCs w:val="18"/>
              </w:rPr>
              <w:t>5) Článek 262 se nahrazuje tímto:</w:t>
            </w:r>
          </w:p>
          <w:p w:rsidR="004F61BB" w:rsidRPr="005C456B" w:rsidRDefault="004F61BB" w:rsidP="00FA6D1E">
            <w:pPr>
              <w:spacing w:before="60"/>
              <w:jc w:val="center"/>
              <w:rPr>
                <w:i/>
                <w:iCs/>
                <w:color w:val="000000"/>
                <w:sz w:val="18"/>
                <w:szCs w:val="18"/>
              </w:rPr>
            </w:pPr>
            <w:r w:rsidRPr="005C456B">
              <w:rPr>
                <w:i/>
                <w:iCs/>
                <w:color w:val="000000"/>
                <w:sz w:val="18"/>
                <w:szCs w:val="18"/>
              </w:rPr>
              <w:t>„Článek 262</w:t>
            </w:r>
          </w:p>
          <w:p w:rsidR="004F61BB" w:rsidRPr="005C456B" w:rsidRDefault="004F61BB" w:rsidP="00FA6D1E">
            <w:pPr>
              <w:spacing w:before="60"/>
              <w:jc w:val="both"/>
              <w:rPr>
                <w:color w:val="000000"/>
                <w:sz w:val="18"/>
                <w:szCs w:val="18"/>
              </w:rPr>
            </w:pPr>
            <w:r w:rsidRPr="005C456B">
              <w:rPr>
                <w:color w:val="000000"/>
                <w:sz w:val="18"/>
                <w:szCs w:val="18"/>
              </w:rPr>
              <w:t>1. Každá osoba povinná k dani identifikovaná pro účely DPH podává souhrnné hlášení, ve kterém uvede tyto údaje:</w:t>
            </w:r>
          </w:p>
          <w:p w:rsidR="004F61BB" w:rsidRPr="005C456B" w:rsidRDefault="004F61BB" w:rsidP="00FA6D1E">
            <w:pPr>
              <w:spacing w:before="60"/>
              <w:jc w:val="both"/>
              <w:rPr>
                <w:color w:val="000000"/>
                <w:sz w:val="18"/>
                <w:szCs w:val="18"/>
              </w:rPr>
            </w:pPr>
            <w:r w:rsidRPr="005C456B">
              <w:rPr>
                <w:color w:val="000000"/>
                <w:sz w:val="18"/>
                <w:szCs w:val="18"/>
              </w:rPr>
              <w:lastRenderedPageBreak/>
              <w:t>a) pořizovatele identifikované pro účely DPH, kterým dodala zboží za podmínek stanovených v čl. 138 odst. 1 a odst. 2 písm. c);</w:t>
            </w:r>
          </w:p>
          <w:p w:rsidR="004F61BB" w:rsidRPr="005C456B" w:rsidRDefault="004F61BB" w:rsidP="00FA6D1E">
            <w:pPr>
              <w:spacing w:before="60"/>
              <w:jc w:val="both"/>
              <w:rPr>
                <w:color w:val="000000"/>
                <w:sz w:val="18"/>
                <w:szCs w:val="18"/>
              </w:rPr>
            </w:pPr>
            <w:r w:rsidRPr="005C456B">
              <w:rPr>
                <w:color w:val="000000"/>
                <w:sz w:val="18"/>
                <w:szCs w:val="18"/>
              </w:rPr>
              <w:t>b) osoby identifikované pro účely DPH, kterým dodala zboží v rámci pořízení zboží uvnitř Společenství podle článku 42;</w:t>
            </w:r>
          </w:p>
          <w:p w:rsidR="004F61BB" w:rsidRPr="005C456B" w:rsidRDefault="004F61BB" w:rsidP="00FA6D1E">
            <w:pPr>
              <w:spacing w:before="60"/>
              <w:jc w:val="both"/>
              <w:rPr>
                <w:color w:val="000000"/>
                <w:sz w:val="18"/>
                <w:szCs w:val="18"/>
              </w:rPr>
            </w:pPr>
            <w:r w:rsidRPr="005C456B">
              <w:rPr>
                <w:color w:val="000000"/>
                <w:sz w:val="18"/>
                <w:szCs w:val="18"/>
              </w:rPr>
              <w:t>c) osoby povinné k dani i právnické osoby nepovinné k dani identifikované pro účely DPH, kterým poskytla služby jiné než služby, které jsou v členském státě, v němž je plnění zdanitelné, osvobozeny od DPH a u nichž je podle článku 196 povinen odvést daň příjemce služby.</w:t>
            </w:r>
          </w:p>
          <w:p w:rsidR="004F61BB" w:rsidRPr="005C456B" w:rsidRDefault="004F61BB" w:rsidP="00FA6D1E">
            <w:pPr>
              <w:spacing w:before="60"/>
              <w:jc w:val="both"/>
              <w:rPr>
                <w:color w:val="000000"/>
                <w:sz w:val="18"/>
                <w:szCs w:val="18"/>
              </w:rPr>
            </w:pPr>
            <w:r w:rsidRPr="005C456B">
              <w:rPr>
                <w:color w:val="000000"/>
                <w:sz w:val="18"/>
                <w:szCs w:val="18"/>
              </w:rPr>
              <w:t>2. Kromě údajů uvedených v odstavci 1 poskytne každá osoba povinná k dani údaj o identifikačním čísle pro účely DPH osob povinných k dani, jimž je určeno zboží, jež se odesílá nebo přepravuje v režimu call-</w:t>
            </w:r>
            <w:proofErr w:type="spellStart"/>
            <w:r w:rsidRPr="005C456B">
              <w:rPr>
                <w:color w:val="000000"/>
                <w:sz w:val="18"/>
                <w:szCs w:val="18"/>
              </w:rPr>
              <w:t>off</w:t>
            </w:r>
            <w:proofErr w:type="spellEnd"/>
            <w:r w:rsidRPr="005C456B">
              <w:rPr>
                <w:color w:val="000000"/>
                <w:sz w:val="18"/>
                <w:szCs w:val="18"/>
              </w:rPr>
              <w:t xml:space="preserve"> </w:t>
            </w:r>
            <w:proofErr w:type="spellStart"/>
            <w:r w:rsidRPr="005C456B">
              <w:rPr>
                <w:color w:val="000000"/>
                <w:sz w:val="18"/>
                <w:szCs w:val="18"/>
              </w:rPr>
              <w:t>stock</w:t>
            </w:r>
            <w:proofErr w:type="spellEnd"/>
            <w:r w:rsidRPr="005C456B">
              <w:rPr>
                <w:color w:val="000000"/>
                <w:sz w:val="18"/>
                <w:szCs w:val="18"/>
              </w:rPr>
              <w:t xml:space="preserve"> v souladu s podmínkami stanovenými v článku 17a, a o veškerých změnách poskytnutých údajů.“</w:t>
            </w:r>
          </w:p>
        </w:tc>
        <w:tc>
          <w:tcPr>
            <w:tcW w:w="900" w:type="dxa"/>
            <w:tcBorders>
              <w:top w:val="single" w:sz="4" w:space="0" w:color="auto"/>
              <w:left w:val="single" w:sz="18" w:space="0" w:color="auto"/>
              <w:bottom w:val="nil"/>
              <w:right w:val="single" w:sz="4" w:space="0" w:color="auto"/>
            </w:tcBorders>
          </w:tcPr>
          <w:p w:rsidR="004F61BB" w:rsidRDefault="002469F2">
            <w:pPr>
              <w:rPr>
                <w:sz w:val="18"/>
              </w:rPr>
            </w:pPr>
            <w:r w:rsidRPr="002469F2">
              <w:rPr>
                <w:sz w:val="18"/>
              </w:rPr>
              <w:lastRenderedPageBreak/>
              <w:t>9426</w:t>
            </w:r>
          </w:p>
        </w:tc>
        <w:tc>
          <w:tcPr>
            <w:tcW w:w="1080" w:type="dxa"/>
            <w:tcBorders>
              <w:top w:val="single" w:sz="4" w:space="0" w:color="auto"/>
              <w:left w:val="single" w:sz="4" w:space="0" w:color="auto"/>
              <w:bottom w:val="nil"/>
              <w:right w:val="single" w:sz="4" w:space="0" w:color="auto"/>
            </w:tcBorders>
          </w:tcPr>
          <w:p w:rsidR="004F61BB" w:rsidRDefault="004F61BB">
            <w:pPr>
              <w:rPr>
                <w:sz w:val="18"/>
              </w:rPr>
            </w:pPr>
          </w:p>
        </w:tc>
        <w:tc>
          <w:tcPr>
            <w:tcW w:w="5400" w:type="dxa"/>
            <w:gridSpan w:val="4"/>
            <w:tcBorders>
              <w:top w:val="single" w:sz="4" w:space="0" w:color="auto"/>
              <w:left w:val="single" w:sz="4" w:space="0" w:color="auto"/>
              <w:bottom w:val="nil"/>
              <w:right w:val="single" w:sz="4" w:space="0" w:color="auto"/>
            </w:tcBorders>
          </w:tcPr>
          <w:p w:rsidR="004F61BB" w:rsidRDefault="004F61BB">
            <w:pPr>
              <w:rPr>
                <w:sz w:val="18"/>
              </w:rPr>
            </w:pPr>
          </w:p>
        </w:tc>
        <w:tc>
          <w:tcPr>
            <w:tcW w:w="900" w:type="dxa"/>
            <w:tcBorders>
              <w:top w:val="single" w:sz="4" w:space="0" w:color="auto"/>
              <w:left w:val="single" w:sz="4" w:space="0" w:color="auto"/>
              <w:bottom w:val="nil"/>
              <w:right w:val="single" w:sz="4" w:space="0" w:color="auto"/>
            </w:tcBorders>
          </w:tcPr>
          <w:p w:rsidR="004F61BB" w:rsidRDefault="003750A4">
            <w:pPr>
              <w:rPr>
                <w:sz w:val="18"/>
              </w:rPr>
            </w:pPr>
            <w:r>
              <w:rPr>
                <w:sz w:val="18"/>
              </w:rPr>
              <w:t>NT</w:t>
            </w:r>
          </w:p>
        </w:tc>
        <w:tc>
          <w:tcPr>
            <w:tcW w:w="720" w:type="dxa"/>
            <w:tcBorders>
              <w:top w:val="single" w:sz="4" w:space="0" w:color="auto"/>
              <w:left w:val="single" w:sz="4" w:space="0" w:color="auto"/>
              <w:bottom w:val="nil"/>
            </w:tcBorders>
          </w:tcPr>
          <w:p w:rsidR="004F61BB" w:rsidRDefault="004F61BB">
            <w:pPr>
              <w:rPr>
                <w:sz w:val="18"/>
              </w:rPr>
            </w:pPr>
          </w:p>
        </w:tc>
      </w:tr>
      <w:tr w:rsidR="004F61BB" w:rsidTr="003D4236">
        <w:tc>
          <w:tcPr>
            <w:tcW w:w="1440" w:type="dxa"/>
            <w:tcBorders>
              <w:top w:val="single" w:sz="4" w:space="0" w:color="auto"/>
              <w:bottom w:val="nil"/>
              <w:right w:val="single" w:sz="4" w:space="0" w:color="auto"/>
            </w:tcBorders>
          </w:tcPr>
          <w:p w:rsidR="004F61BB" w:rsidRPr="007E6751" w:rsidRDefault="004F61BB" w:rsidP="007E6751">
            <w:pPr>
              <w:rPr>
                <w:sz w:val="18"/>
              </w:rPr>
            </w:pPr>
            <w:r w:rsidRPr="007E6751">
              <w:rPr>
                <w:sz w:val="18"/>
              </w:rPr>
              <w:lastRenderedPageBreak/>
              <w:t xml:space="preserve">Článek 1 odst. </w:t>
            </w:r>
            <w:r w:rsidR="00381B1F">
              <w:rPr>
                <w:sz w:val="18"/>
              </w:rPr>
              <w:t>6</w:t>
            </w:r>
          </w:p>
          <w:p w:rsidR="004F61BB" w:rsidRDefault="004F61BB" w:rsidP="007E6751">
            <w:pPr>
              <w:rPr>
                <w:sz w:val="18"/>
              </w:rPr>
            </w:pPr>
            <w:r w:rsidRPr="007E6751">
              <w:rPr>
                <w:sz w:val="18"/>
              </w:rPr>
              <w:t xml:space="preserve">(čl. </w:t>
            </w:r>
            <w:r w:rsidR="00381B1F">
              <w:rPr>
                <w:sz w:val="18"/>
              </w:rPr>
              <w:t>403 a 404</w:t>
            </w:r>
            <w:r w:rsidRPr="007E6751">
              <w:rPr>
                <w:sz w:val="18"/>
              </w:rPr>
              <w:t>)</w:t>
            </w:r>
          </w:p>
        </w:tc>
        <w:tc>
          <w:tcPr>
            <w:tcW w:w="5400" w:type="dxa"/>
            <w:gridSpan w:val="4"/>
            <w:tcBorders>
              <w:top w:val="single" w:sz="4" w:space="0" w:color="auto"/>
              <w:left w:val="single" w:sz="4" w:space="0" w:color="auto"/>
              <w:bottom w:val="nil"/>
              <w:right w:val="single" w:sz="18" w:space="0" w:color="auto"/>
            </w:tcBorders>
          </w:tcPr>
          <w:p w:rsidR="004F61BB" w:rsidRPr="00257F2A" w:rsidRDefault="00381B1F" w:rsidP="00257F2A">
            <w:pPr>
              <w:rPr>
                <w:iCs/>
                <w:sz w:val="18"/>
                <w:szCs w:val="18"/>
              </w:rPr>
            </w:pPr>
            <w:r w:rsidRPr="00381B1F">
              <w:rPr>
                <w:color w:val="000000"/>
                <w:sz w:val="18"/>
                <w:szCs w:val="18"/>
              </w:rPr>
              <w:t>6) Články 403 a 404 se zrušují.</w:t>
            </w:r>
          </w:p>
        </w:tc>
        <w:tc>
          <w:tcPr>
            <w:tcW w:w="900" w:type="dxa"/>
            <w:tcBorders>
              <w:top w:val="single" w:sz="4" w:space="0" w:color="auto"/>
              <w:left w:val="single" w:sz="18" w:space="0" w:color="auto"/>
              <w:bottom w:val="nil"/>
              <w:right w:val="single" w:sz="4" w:space="0" w:color="auto"/>
            </w:tcBorders>
          </w:tcPr>
          <w:p w:rsidR="004F61BB" w:rsidRDefault="004F61BB">
            <w:pPr>
              <w:rPr>
                <w:sz w:val="18"/>
              </w:rPr>
            </w:pPr>
          </w:p>
        </w:tc>
        <w:tc>
          <w:tcPr>
            <w:tcW w:w="1080" w:type="dxa"/>
            <w:tcBorders>
              <w:top w:val="single" w:sz="4" w:space="0" w:color="auto"/>
              <w:left w:val="single" w:sz="4" w:space="0" w:color="auto"/>
              <w:bottom w:val="nil"/>
              <w:right w:val="single" w:sz="4" w:space="0" w:color="auto"/>
            </w:tcBorders>
          </w:tcPr>
          <w:p w:rsidR="004F61BB" w:rsidRDefault="004F61BB">
            <w:pPr>
              <w:rPr>
                <w:sz w:val="18"/>
              </w:rPr>
            </w:pPr>
          </w:p>
        </w:tc>
        <w:tc>
          <w:tcPr>
            <w:tcW w:w="5400" w:type="dxa"/>
            <w:gridSpan w:val="4"/>
            <w:tcBorders>
              <w:top w:val="single" w:sz="4" w:space="0" w:color="auto"/>
              <w:left w:val="single" w:sz="4" w:space="0" w:color="auto"/>
              <w:bottom w:val="nil"/>
              <w:right w:val="single" w:sz="4" w:space="0" w:color="auto"/>
            </w:tcBorders>
          </w:tcPr>
          <w:p w:rsidR="004F61BB" w:rsidRDefault="00416079">
            <w:pPr>
              <w:rPr>
                <w:sz w:val="18"/>
              </w:rPr>
            </w:pPr>
            <w:r>
              <w:rPr>
                <w:i/>
                <w:iCs/>
                <w:sz w:val="18"/>
              </w:rPr>
              <w:t>Nerelevantní z hlediska transpozice.</w:t>
            </w:r>
          </w:p>
        </w:tc>
        <w:tc>
          <w:tcPr>
            <w:tcW w:w="900" w:type="dxa"/>
            <w:tcBorders>
              <w:top w:val="single" w:sz="4" w:space="0" w:color="auto"/>
              <w:left w:val="single" w:sz="4" w:space="0" w:color="auto"/>
              <w:bottom w:val="nil"/>
              <w:right w:val="single" w:sz="4" w:space="0" w:color="auto"/>
            </w:tcBorders>
          </w:tcPr>
          <w:p w:rsidR="004F61BB" w:rsidRDefault="00416079">
            <w:pPr>
              <w:rPr>
                <w:sz w:val="18"/>
              </w:rPr>
            </w:pPr>
            <w:r>
              <w:rPr>
                <w:sz w:val="18"/>
              </w:rPr>
              <w:t>NT</w:t>
            </w:r>
          </w:p>
        </w:tc>
        <w:tc>
          <w:tcPr>
            <w:tcW w:w="720" w:type="dxa"/>
            <w:tcBorders>
              <w:top w:val="single" w:sz="4" w:space="0" w:color="auto"/>
              <w:left w:val="single" w:sz="4" w:space="0" w:color="auto"/>
              <w:bottom w:val="nil"/>
            </w:tcBorders>
          </w:tcPr>
          <w:p w:rsidR="004F61BB" w:rsidRDefault="004F61BB">
            <w:pPr>
              <w:rPr>
                <w:sz w:val="18"/>
              </w:rPr>
            </w:pPr>
          </w:p>
        </w:tc>
      </w:tr>
      <w:tr w:rsidR="002469F2">
        <w:tc>
          <w:tcPr>
            <w:tcW w:w="1440" w:type="dxa"/>
            <w:tcBorders>
              <w:top w:val="single" w:sz="4" w:space="0" w:color="auto"/>
              <w:bottom w:val="nil"/>
              <w:right w:val="single" w:sz="4" w:space="0" w:color="auto"/>
            </w:tcBorders>
          </w:tcPr>
          <w:p w:rsidR="002469F2" w:rsidRDefault="002469F2">
            <w:pPr>
              <w:rPr>
                <w:sz w:val="18"/>
              </w:rPr>
            </w:pPr>
            <w:r w:rsidRPr="00967918">
              <w:rPr>
                <w:iCs/>
                <w:sz w:val="18"/>
                <w:szCs w:val="18"/>
              </w:rPr>
              <w:t>Článek 2</w:t>
            </w:r>
          </w:p>
        </w:tc>
        <w:tc>
          <w:tcPr>
            <w:tcW w:w="5400" w:type="dxa"/>
            <w:gridSpan w:val="4"/>
            <w:tcBorders>
              <w:top w:val="single" w:sz="4" w:space="0" w:color="auto"/>
              <w:left w:val="single" w:sz="4" w:space="0" w:color="auto"/>
              <w:bottom w:val="nil"/>
              <w:right w:val="single" w:sz="18" w:space="0" w:color="auto"/>
            </w:tcBorders>
          </w:tcPr>
          <w:p w:rsidR="002469F2" w:rsidRPr="005C456B" w:rsidRDefault="002469F2" w:rsidP="00FA6D1E">
            <w:pPr>
              <w:spacing w:before="60"/>
              <w:jc w:val="both"/>
              <w:rPr>
                <w:color w:val="000000"/>
                <w:sz w:val="18"/>
                <w:szCs w:val="18"/>
              </w:rPr>
            </w:pPr>
            <w:r w:rsidRPr="005C456B">
              <w:rPr>
                <w:color w:val="000000"/>
                <w:sz w:val="18"/>
                <w:szCs w:val="18"/>
              </w:rPr>
              <w:t>1. Členské státy do 31. prosince 2019 přijmou a zveřejní právní a správní předpisy nezbytné pro dosažení souladu s touto směrnicí. Neprodleně o nich uvědomí Komisi.</w:t>
            </w:r>
          </w:p>
          <w:p w:rsidR="002469F2" w:rsidRPr="005C456B" w:rsidRDefault="002469F2" w:rsidP="00FA6D1E">
            <w:pPr>
              <w:spacing w:before="60"/>
              <w:jc w:val="both"/>
              <w:rPr>
                <w:color w:val="000000"/>
                <w:sz w:val="18"/>
                <w:szCs w:val="18"/>
              </w:rPr>
            </w:pPr>
            <w:r w:rsidRPr="005C456B">
              <w:rPr>
                <w:color w:val="000000"/>
                <w:sz w:val="18"/>
                <w:szCs w:val="18"/>
              </w:rPr>
              <w:t>Použijí tyto předpisy od 1. ledna 2020.</w:t>
            </w:r>
          </w:p>
          <w:p w:rsidR="002469F2" w:rsidRPr="005C456B" w:rsidRDefault="002469F2" w:rsidP="00FA6D1E">
            <w:pPr>
              <w:spacing w:before="60"/>
              <w:jc w:val="both"/>
              <w:rPr>
                <w:color w:val="000000"/>
                <w:sz w:val="18"/>
                <w:szCs w:val="18"/>
              </w:rPr>
            </w:pPr>
            <w:r w:rsidRPr="005C456B">
              <w:rPr>
                <w:color w:val="000000"/>
                <w:sz w:val="18"/>
                <w:szCs w:val="18"/>
              </w:rPr>
              <w:t>Tyto předpisy přijaté členskými státy musí obsahovat odkaz na tuto směrnici nebo musí být takový odkaz učiněn při jejich úředním vyhlášení. Způsob odkazu si stanoví členské státy.</w:t>
            </w:r>
          </w:p>
          <w:p w:rsidR="002469F2" w:rsidRPr="005C456B" w:rsidRDefault="002469F2" w:rsidP="00FA6D1E">
            <w:pPr>
              <w:spacing w:before="60"/>
              <w:jc w:val="both"/>
              <w:rPr>
                <w:color w:val="000000"/>
                <w:sz w:val="18"/>
                <w:szCs w:val="18"/>
              </w:rPr>
            </w:pPr>
            <w:r w:rsidRPr="005C456B">
              <w:rPr>
                <w:color w:val="000000"/>
                <w:sz w:val="18"/>
                <w:szCs w:val="18"/>
              </w:rPr>
              <w:t>2. Členské státy sdělí Komisi znění hlavních ustanovení vnitrostátních právních předpisů, které přijmou v oblasti působnosti této směrnice.</w:t>
            </w:r>
          </w:p>
        </w:tc>
        <w:tc>
          <w:tcPr>
            <w:tcW w:w="900" w:type="dxa"/>
            <w:tcBorders>
              <w:top w:val="single" w:sz="4" w:space="0" w:color="auto"/>
              <w:left w:val="single" w:sz="18" w:space="0" w:color="auto"/>
              <w:bottom w:val="nil"/>
              <w:right w:val="single" w:sz="4" w:space="0" w:color="auto"/>
            </w:tcBorders>
          </w:tcPr>
          <w:p w:rsidR="002469F2" w:rsidRDefault="002469F2">
            <w:pPr>
              <w:rPr>
                <w:sz w:val="18"/>
              </w:rPr>
            </w:pPr>
          </w:p>
        </w:tc>
        <w:tc>
          <w:tcPr>
            <w:tcW w:w="1080" w:type="dxa"/>
            <w:tcBorders>
              <w:top w:val="single" w:sz="4" w:space="0" w:color="auto"/>
              <w:left w:val="single" w:sz="4" w:space="0" w:color="auto"/>
              <w:bottom w:val="nil"/>
              <w:right w:val="single" w:sz="4" w:space="0" w:color="auto"/>
            </w:tcBorders>
          </w:tcPr>
          <w:p w:rsidR="002469F2" w:rsidRDefault="002469F2">
            <w:pPr>
              <w:rPr>
                <w:sz w:val="18"/>
              </w:rPr>
            </w:pPr>
          </w:p>
        </w:tc>
        <w:tc>
          <w:tcPr>
            <w:tcW w:w="5400" w:type="dxa"/>
            <w:gridSpan w:val="4"/>
            <w:tcBorders>
              <w:top w:val="single" w:sz="4" w:space="0" w:color="auto"/>
              <w:left w:val="single" w:sz="4" w:space="0" w:color="auto"/>
              <w:bottom w:val="nil"/>
              <w:right w:val="single" w:sz="4" w:space="0" w:color="auto"/>
            </w:tcBorders>
          </w:tcPr>
          <w:p w:rsidR="002469F2" w:rsidRDefault="002469F2">
            <w:pPr>
              <w:rPr>
                <w:sz w:val="18"/>
              </w:rPr>
            </w:pPr>
            <w:r>
              <w:rPr>
                <w:i/>
                <w:iCs/>
                <w:sz w:val="18"/>
              </w:rPr>
              <w:t>Nerelevantní z hlediska transpozice.</w:t>
            </w:r>
          </w:p>
        </w:tc>
        <w:tc>
          <w:tcPr>
            <w:tcW w:w="900" w:type="dxa"/>
            <w:tcBorders>
              <w:top w:val="single" w:sz="4" w:space="0" w:color="auto"/>
              <w:left w:val="single" w:sz="4" w:space="0" w:color="auto"/>
              <w:bottom w:val="nil"/>
              <w:right w:val="single" w:sz="4" w:space="0" w:color="auto"/>
            </w:tcBorders>
          </w:tcPr>
          <w:p w:rsidR="002469F2" w:rsidRDefault="002469F2">
            <w:pPr>
              <w:rPr>
                <w:sz w:val="18"/>
              </w:rPr>
            </w:pPr>
            <w:r w:rsidRPr="00164FE4">
              <w:rPr>
                <w:sz w:val="18"/>
              </w:rPr>
              <w:t>NT</w:t>
            </w:r>
          </w:p>
        </w:tc>
        <w:tc>
          <w:tcPr>
            <w:tcW w:w="720" w:type="dxa"/>
            <w:tcBorders>
              <w:top w:val="single" w:sz="4" w:space="0" w:color="auto"/>
              <w:left w:val="single" w:sz="4" w:space="0" w:color="auto"/>
              <w:bottom w:val="nil"/>
            </w:tcBorders>
          </w:tcPr>
          <w:p w:rsidR="002469F2" w:rsidRDefault="002469F2">
            <w:pPr>
              <w:rPr>
                <w:sz w:val="18"/>
              </w:rPr>
            </w:pPr>
          </w:p>
        </w:tc>
      </w:tr>
      <w:tr w:rsidR="002469F2" w:rsidTr="001F6F2D">
        <w:tc>
          <w:tcPr>
            <w:tcW w:w="1440" w:type="dxa"/>
            <w:tcBorders>
              <w:top w:val="single" w:sz="4" w:space="0" w:color="auto"/>
              <w:bottom w:val="single" w:sz="4" w:space="0" w:color="auto"/>
              <w:right w:val="single" w:sz="4" w:space="0" w:color="auto"/>
            </w:tcBorders>
          </w:tcPr>
          <w:p w:rsidR="002469F2" w:rsidRDefault="002469F2">
            <w:pPr>
              <w:rPr>
                <w:sz w:val="18"/>
              </w:rPr>
            </w:pPr>
            <w:r w:rsidRPr="00967918">
              <w:rPr>
                <w:iCs/>
                <w:sz w:val="18"/>
                <w:szCs w:val="18"/>
              </w:rPr>
              <w:t>Článek 3</w:t>
            </w:r>
          </w:p>
        </w:tc>
        <w:tc>
          <w:tcPr>
            <w:tcW w:w="5400" w:type="dxa"/>
            <w:gridSpan w:val="4"/>
            <w:tcBorders>
              <w:top w:val="single" w:sz="4" w:space="0" w:color="auto"/>
              <w:left w:val="single" w:sz="4" w:space="0" w:color="auto"/>
              <w:bottom w:val="single" w:sz="4" w:space="0" w:color="auto"/>
              <w:right w:val="single" w:sz="18" w:space="0" w:color="auto"/>
            </w:tcBorders>
          </w:tcPr>
          <w:p w:rsidR="002469F2" w:rsidRDefault="002469F2">
            <w:pPr>
              <w:rPr>
                <w:sz w:val="18"/>
              </w:rPr>
            </w:pPr>
            <w:r w:rsidRPr="002469F2">
              <w:rPr>
                <w:sz w:val="18"/>
                <w:szCs w:val="18"/>
              </w:rPr>
              <w:t>Tato směrnice vstupuje v platnost dvacátým dnem po vyhlášení v Úředním věstníku Evropské unie.</w:t>
            </w:r>
          </w:p>
        </w:tc>
        <w:tc>
          <w:tcPr>
            <w:tcW w:w="900" w:type="dxa"/>
            <w:tcBorders>
              <w:top w:val="single" w:sz="4" w:space="0" w:color="auto"/>
              <w:left w:val="single" w:sz="18" w:space="0" w:color="auto"/>
              <w:bottom w:val="single" w:sz="4" w:space="0" w:color="auto"/>
              <w:right w:val="single" w:sz="4" w:space="0" w:color="auto"/>
            </w:tcBorders>
          </w:tcPr>
          <w:p w:rsidR="002469F2" w:rsidRDefault="002469F2">
            <w:pPr>
              <w:rPr>
                <w:sz w:val="18"/>
              </w:rPr>
            </w:pPr>
          </w:p>
        </w:tc>
        <w:tc>
          <w:tcPr>
            <w:tcW w:w="1080" w:type="dxa"/>
            <w:tcBorders>
              <w:top w:val="single" w:sz="4" w:space="0" w:color="auto"/>
              <w:left w:val="single" w:sz="4" w:space="0" w:color="auto"/>
              <w:bottom w:val="single" w:sz="4" w:space="0" w:color="auto"/>
              <w:right w:val="single" w:sz="4" w:space="0" w:color="auto"/>
            </w:tcBorders>
          </w:tcPr>
          <w:p w:rsidR="002469F2" w:rsidRDefault="002469F2">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2469F2" w:rsidRDefault="002469F2">
            <w:pPr>
              <w:rPr>
                <w:sz w:val="18"/>
              </w:rPr>
            </w:pPr>
            <w:r>
              <w:rPr>
                <w:i/>
                <w:iCs/>
                <w:sz w:val="18"/>
              </w:rPr>
              <w:t>Nerelevantní z hlediska transpozice.</w:t>
            </w:r>
          </w:p>
        </w:tc>
        <w:tc>
          <w:tcPr>
            <w:tcW w:w="900" w:type="dxa"/>
            <w:tcBorders>
              <w:top w:val="single" w:sz="4" w:space="0" w:color="auto"/>
              <w:left w:val="single" w:sz="4" w:space="0" w:color="auto"/>
              <w:bottom w:val="single" w:sz="4" w:space="0" w:color="auto"/>
              <w:right w:val="single" w:sz="4" w:space="0" w:color="auto"/>
            </w:tcBorders>
          </w:tcPr>
          <w:p w:rsidR="002469F2" w:rsidRDefault="002469F2">
            <w:pPr>
              <w:rPr>
                <w:sz w:val="18"/>
              </w:rPr>
            </w:pPr>
            <w:r w:rsidRPr="00164FE4">
              <w:rPr>
                <w:sz w:val="18"/>
              </w:rPr>
              <w:t>NT</w:t>
            </w:r>
          </w:p>
        </w:tc>
        <w:tc>
          <w:tcPr>
            <w:tcW w:w="720" w:type="dxa"/>
            <w:tcBorders>
              <w:top w:val="single" w:sz="4" w:space="0" w:color="auto"/>
              <w:left w:val="single" w:sz="4" w:space="0" w:color="auto"/>
              <w:bottom w:val="single" w:sz="4" w:space="0" w:color="auto"/>
            </w:tcBorders>
          </w:tcPr>
          <w:p w:rsidR="002469F2" w:rsidRDefault="002469F2">
            <w:pPr>
              <w:rPr>
                <w:sz w:val="18"/>
              </w:rPr>
            </w:pPr>
          </w:p>
        </w:tc>
      </w:tr>
      <w:tr w:rsidR="002469F2" w:rsidTr="001F6F2D">
        <w:tc>
          <w:tcPr>
            <w:tcW w:w="1440" w:type="dxa"/>
            <w:tcBorders>
              <w:top w:val="single" w:sz="4" w:space="0" w:color="auto"/>
              <w:bottom w:val="single" w:sz="4" w:space="0" w:color="auto"/>
              <w:right w:val="single" w:sz="4" w:space="0" w:color="auto"/>
            </w:tcBorders>
          </w:tcPr>
          <w:p w:rsidR="002469F2" w:rsidRDefault="002469F2" w:rsidP="007B1569">
            <w:pPr>
              <w:rPr>
                <w:sz w:val="18"/>
              </w:rPr>
            </w:pPr>
            <w:r w:rsidRPr="00967918">
              <w:rPr>
                <w:iCs/>
                <w:sz w:val="18"/>
                <w:szCs w:val="18"/>
              </w:rPr>
              <w:t>Článek 4</w:t>
            </w:r>
          </w:p>
        </w:tc>
        <w:tc>
          <w:tcPr>
            <w:tcW w:w="5400" w:type="dxa"/>
            <w:gridSpan w:val="4"/>
            <w:tcBorders>
              <w:top w:val="single" w:sz="4" w:space="0" w:color="auto"/>
              <w:left w:val="single" w:sz="4" w:space="0" w:color="auto"/>
              <w:bottom w:val="single" w:sz="4" w:space="0" w:color="auto"/>
              <w:right w:val="single" w:sz="18" w:space="0" w:color="auto"/>
            </w:tcBorders>
          </w:tcPr>
          <w:p w:rsidR="002469F2" w:rsidRDefault="002469F2" w:rsidP="007B1569">
            <w:pPr>
              <w:rPr>
                <w:sz w:val="18"/>
              </w:rPr>
            </w:pPr>
            <w:r w:rsidRPr="00967918">
              <w:rPr>
                <w:sz w:val="18"/>
                <w:szCs w:val="18"/>
              </w:rPr>
              <w:t>Tato směrnice je určena členským státům.</w:t>
            </w:r>
          </w:p>
        </w:tc>
        <w:tc>
          <w:tcPr>
            <w:tcW w:w="900" w:type="dxa"/>
            <w:tcBorders>
              <w:top w:val="single" w:sz="4" w:space="0" w:color="auto"/>
              <w:left w:val="single" w:sz="18" w:space="0" w:color="auto"/>
              <w:bottom w:val="single" w:sz="4" w:space="0" w:color="auto"/>
              <w:right w:val="single" w:sz="4" w:space="0" w:color="auto"/>
            </w:tcBorders>
          </w:tcPr>
          <w:p w:rsidR="002469F2" w:rsidRDefault="002469F2" w:rsidP="007B1569">
            <w:pPr>
              <w:rPr>
                <w:sz w:val="18"/>
              </w:rPr>
            </w:pPr>
          </w:p>
        </w:tc>
        <w:tc>
          <w:tcPr>
            <w:tcW w:w="1080" w:type="dxa"/>
            <w:tcBorders>
              <w:top w:val="single" w:sz="4" w:space="0" w:color="auto"/>
              <w:left w:val="single" w:sz="4" w:space="0" w:color="auto"/>
              <w:bottom w:val="single" w:sz="4" w:space="0" w:color="auto"/>
              <w:right w:val="single" w:sz="4" w:space="0" w:color="auto"/>
            </w:tcBorders>
          </w:tcPr>
          <w:p w:rsidR="002469F2" w:rsidRDefault="002469F2" w:rsidP="007B1569">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2469F2" w:rsidRDefault="002469F2" w:rsidP="007B1569">
            <w:pPr>
              <w:rPr>
                <w:sz w:val="18"/>
              </w:rPr>
            </w:pPr>
            <w:r>
              <w:rPr>
                <w:i/>
                <w:iCs/>
                <w:sz w:val="18"/>
              </w:rPr>
              <w:t>Nerelevantní z hlediska transpozice.</w:t>
            </w:r>
          </w:p>
        </w:tc>
        <w:tc>
          <w:tcPr>
            <w:tcW w:w="900" w:type="dxa"/>
            <w:tcBorders>
              <w:top w:val="single" w:sz="4" w:space="0" w:color="auto"/>
              <w:left w:val="single" w:sz="4" w:space="0" w:color="auto"/>
              <w:bottom w:val="single" w:sz="4" w:space="0" w:color="auto"/>
              <w:right w:val="single" w:sz="4" w:space="0" w:color="auto"/>
            </w:tcBorders>
          </w:tcPr>
          <w:p w:rsidR="002469F2" w:rsidRDefault="002469F2" w:rsidP="007B1569">
            <w:pPr>
              <w:rPr>
                <w:sz w:val="18"/>
              </w:rPr>
            </w:pPr>
            <w:r w:rsidRPr="00164FE4">
              <w:rPr>
                <w:sz w:val="18"/>
              </w:rPr>
              <w:t>NT</w:t>
            </w:r>
          </w:p>
        </w:tc>
        <w:tc>
          <w:tcPr>
            <w:tcW w:w="720" w:type="dxa"/>
            <w:tcBorders>
              <w:top w:val="single" w:sz="4" w:space="0" w:color="auto"/>
              <w:left w:val="single" w:sz="4" w:space="0" w:color="auto"/>
              <w:bottom w:val="single" w:sz="4" w:space="0" w:color="auto"/>
            </w:tcBorders>
          </w:tcPr>
          <w:p w:rsidR="002469F2" w:rsidRDefault="002469F2">
            <w:pPr>
              <w:rPr>
                <w:sz w:val="18"/>
              </w:rPr>
            </w:pPr>
          </w:p>
        </w:tc>
      </w:tr>
    </w:tbl>
    <w:p w:rsidR="007D0ABC" w:rsidRDefault="007D0ABC">
      <w:pPr>
        <w:rPr>
          <w:sz w:val="18"/>
        </w:rPr>
      </w:pPr>
    </w:p>
    <w:p w:rsidR="007D0ABC" w:rsidRDefault="007D0ABC">
      <w:pPr>
        <w:rPr>
          <w:sz w:val="18"/>
        </w:rPr>
      </w:pPr>
    </w:p>
    <w:p w:rsidR="007D0ABC" w:rsidRDefault="007D0ABC">
      <w:pPr>
        <w:pStyle w:val="Nadpis1"/>
      </w:pPr>
      <w:r>
        <w:t>Rekapitulace platných předpisů a legislativních návrhů, jejichž prostřednictvím je implementován předpis  ES/EU</w:t>
      </w:r>
    </w:p>
    <w:p w:rsidR="007D0ABC" w:rsidRDefault="007D0ABC">
      <w:pPr>
        <w:ind w:left="-900"/>
        <w:rPr>
          <w:sz w:val="18"/>
        </w:rPr>
      </w:pPr>
    </w:p>
    <w:p w:rsidR="007D0ABC" w:rsidRDefault="007D0ABC">
      <w:pPr>
        <w:ind w:left="-900"/>
        <w:rPr>
          <w:sz w:val="18"/>
        </w:rPr>
      </w:pPr>
    </w:p>
    <w:p w:rsidR="007D0ABC" w:rsidRDefault="007D0ABC">
      <w:pPr>
        <w:ind w:left="-900"/>
        <w:rPr>
          <w:b/>
          <w:bCs/>
          <w:sz w:val="18"/>
        </w:rPr>
      </w:pPr>
      <w:r>
        <w:rPr>
          <w:b/>
          <w:bCs/>
          <w:sz w:val="18"/>
        </w:rPr>
        <w:t>1. Seznam platných předpisů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900"/>
        <w:gridCol w:w="12960"/>
        <w:gridCol w:w="1440"/>
      </w:tblGrid>
      <w:tr w:rsidR="007D0ABC">
        <w:tc>
          <w:tcPr>
            <w:tcW w:w="540" w:type="dxa"/>
          </w:tcPr>
          <w:p w:rsidR="007D0ABC" w:rsidRDefault="007D0ABC">
            <w:pPr>
              <w:spacing w:before="60" w:after="60"/>
              <w:jc w:val="center"/>
              <w:rPr>
                <w:sz w:val="16"/>
              </w:rPr>
            </w:pPr>
            <w:proofErr w:type="spellStart"/>
            <w:r>
              <w:rPr>
                <w:sz w:val="16"/>
              </w:rPr>
              <w:t>Poř</w:t>
            </w:r>
            <w:proofErr w:type="spellEnd"/>
            <w:r>
              <w:rPr>
                <w:sz w:val="16"/>
              </w:rPr>
              <w:t>. č</w:t>
            </w:r>
          </w:p>
        </w:tc>
        <w:tc>
          <w:tcPr>
            <w:tcW w:w="900" w:type="dxa"/>
          </w:tcPr>
          <w:p w:rsidR="007D0ABC" w:rsidRDefault="007D0ABC">
            <w:pPr>
              <w:spacing w:before="60" w:after="60"/>
              <w:jc w:val="center"/>
              <w:rPr>
                <w:sz w:val="16"/>
              </w:rPr>
            </w:pPr>
            <w:proofErr w:type="spellStart"/>
            <w:proofErr w:type="gramStart"/>
            <w:r>
              <w:rPr>
                <w:sz w:val="16"/>
              </w:rPr>
              <w:t>Číslo.Sb</w:t>
            </w:r>
            <w:proofErr w:type="spellEnd"/>
            <w:proofErr w:type="gramEnd"/>
            <w:r>
              <w:rPr>
                <w:sz w:val="16"/>
              </w:rPr>
              <w:t>.</w:t>
            </w:r>
          </w:p>
        </w:tc>
        <w:tc>
          <w:tcPr>
            <w:tcW w:w="12960" w:type="dxa"/>
          </w:tcPr>
          <w:p w:rsidR="007D0ABC" w:rsidRDefault="007D0ABC">
            <w:pPr>
              <w:spacing w:before="60" w:after="60"/>
              <w:jc w:val="center"/>
              <w:rPr>
                <w:sz w:val="16"/>
              </w:rPr>
            </w:pPr>
            <w:r>
              <w:rPr>
                <w:sz w:val="16"/>
              </w:rPr>
              <w:t>Název předpisu</w:t>
            </w:r>
          </w:p>
        </w:tc>
        <w:tc>
          <w:tcPr>
            <w:tcW w:w="1440" w:type="dxa"/>
          </w:tcPr>
          <w:p w:rsidR="007D0ABC" w:rsidRDefault="007D0ABC">
            <w:pPr>
              <w:spacing w:before="60" w:after="60"/>
              <w:jc w:val="center"/>
              <w:rPr>
                <w:sz w:val="16"/>
              </w:rPr>
            </w:pPr>
            <w:r>
              <w:rPr>
                <w:sz w:val="16"/>
              </w:rPr>
              <w:t>Účinnost předpisu</w:t>
            </w:r>
          </w:p>
        </w:tc>
      </w:tr>
      <w:tr w:rsidR="007D0ABC">
        <w:tc>
          <w:tcPr>
            <w:tcW w:w="540" w:type="dxa"/>
          </w:tcPr>
          <w:p w:rsidR="007D0ABC" w:rsidRDefault="007D0ABC">
            <w:pPr>
              <w:numPr>
                <w:ilvl w:val="0"/>
                <w:numId w:val="5"/>
              </w:numPr>
              <w:ind w:left="0" w:firstLine="0"/>
              <w:rPr>
                <w:sz w:val="18"/>
              </w:rPr>
            </w:pPr>
          </w:p>
        </w:tc>
        <w:tc>
          <w:tcPr>
            <w:tcW w:w="900" w:type="dxa"/>
          </w:tcPr>
          <w:p w:rsidR="007D0ABC" w:rsidRDefault="007D0ABC">
            <w:pPr>
              <w:rPr>
                <w:sz w:val="18"/>
              </w:rPr>
            </w:pPr>
          </w:p>
        </w:tc>
        <w:tc>
          <w:tcPr>
            <w:tcW w:w="12960" w:type="dxa"/>
          </w:tcPr>
          <w:p w:rsidR="007D0ABC" w:rsidRDefault="007D0ABC">
            <w:pPr>
              <w:rPr>
                <w:sz w:val="18"/>
              </w:rPr>
            </w:pPr>
          </w:p>
        </w:tc>
        <w:tc>
          <w:tcPr>
            <w:tcW w:w="1440" w:type="dxa"/>
          </w:tcPr>
          <w:p w:rsidR="007D0ABC" w:rsidRDefault="007D0ABC">
            <w:pPr>
              <w:rPr>
                <w:sz w:val="18"/>
              </w:rPr>
            </w:pPr>
          </w:p>
        </w:tc>
      </w:tr>
    </w:tbl>
    <w:p w:rsidR="007D0ABC" w:rsidRDefault="007D0ABC">
      <w:pPr>
        <w:rPr>
          <w:sz w:val="18"/>
        </w:rPr>
      </w:pPr>
    </w:p>
    <w:p w:rsidR="007D0ABC" w:rsidRDefault="007D0ABC">
      <w:pPr>
        <w:rPr>
          <w:sz w:val="18"/>
        </w:rPr>
      </w:pPr>
    </w:p>
    <w:p w:rsidR="007D0ABC" w:rsidRDefault="007D0ABC" w:rsidP="00B7013F">
      <w:pPr>
        <w:keepNext/>
        <w:ind w:left="-900"/>
        <w:rPr>
          <w:b/>
          <w:bCs/>
          <w:sz w:val="18"/>
        </w:rPr>
      </w:pPr>
      <w:r>
        <w:rPr>
          <w:b/>
          <w:bCs/>
          <w:sz w:val="18"/>
        </w:rPr>
        <w:t xml:space="preserve">2. Seznam návrhů </w:t>
      </w:r>
      <w:proofErr w:type="spellStart"/>
      <w:r>
        <w:rPr>
          <w:b/>
          <w:bCs/>
          <w:sz w:val="18"/>
        </w:rPr>
        <w:t>pčedpisů</w:t>
      </w:r>
      <w:proofErr w:type="spellEnd"/>
      <w:r>
        <w:rPr>
          <w:b/>
          <w:bCs/>
          <w:sz w:val="18"/>
        </w:rPr>
        <w:t xml:space="preserve">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6"/>
        <w:gridCol w:w="910"/>
        <w:gridCol w:w="1092"/>
        <w:gridCol w:w="8921"/>
        <w:gridCol w:w="1457"/>
        <w:gridCol w:w="1457"/>
        <w:gridCol w:w="1457"/>
      </w:tblGrid>
      <w:tr w:rsidR="007D0ABC">
        <w:tc>
          <w:tcPr>
            <w:tcW w:w="546" w:type="dxa"/>
          </w:tcPr>
          <w:p w:rsidR="007D0ABC" w:rsidRDefault="007D0ABC" w:rsidP="00B7013F">
            <w:pPr>
              <w:keepNext/>
              <w:spacing w:before="60" w:after="60"/>
              <w:jc w:val="center"/>
              <w:rPr>
                <w:sz w:val="16"/>
              </w:rPr>
            </w:pPr>
            <w:proofErr w:type="spellStart"/>
            <w:proofErr w:type="gramStart"/>
            <w:r>
              <w:rPr>
                <w:sz w:val="16"/>
              </w:rPr>
              <w:t>Poř.č</w:t>
            </w:r>
            <w:proofErr w:type="spellEnd"/>
            <w:r>
              <w:rPr>
                <w:sz w:val="16"/>
              </w:rPr>
              <w:t>.</w:t>
            </w:r>
            <w:proofErr w:type="gramEnd"/>
          </w:p>
        </w:tc>
        <w:tc>
          <w:tcPr>
            <w:tcW w:w="910" w:type="dxa"/>
          </w:tcPr>
          <w:p w:rsidR="007D0ABC" w:rsidRDefault="007D0ABC" w:rsidP="00B7013F">
            <w:pPr>
              <w:keepNext/>
              <w:spacing w:before="60" w:after="60"/>
              <w:jc w:val="center"/>
              <w:rPr>
                <w:sz w:val="16"/>
              </w:rPr>
            </w:pPr>
            <w:r>
              <w:rPr>
                <w:sz w:val="16"/>
              </w:rPr>
              <w:t>Číslo ID</w:t>
            </w:r>
          </w:p>
        </w:tc>
        <w:tc>
          <w:tcPr>
            <w:tcW w:w="1092" w:type="dxa"/>
          </w:tcPr>
          <w:p w:rsidR="007D0ABC" w:rsidRDefault="007D0ABC" w:rsidP="00B7013F">
            <w:pPr>
              <w:keepNext/>
              <w:spacing w:before="60" w:after="60"/>
              <w:jc w:val="center"/>
              <w:rPr>
                <w:sz w:val="16"/>
              </w:rPr>
            </w:pPr>
            <w:r>
              <w:rPr>
                <w:sz w:val="16"/>
              </w:rPr>
              <w:t>Předkladatel</w:t>
            </w:r>
          </w:p>
        </w:tc>
        <w:tc>
          <w:tcPr>
            <w:tcW w:w="8921" w:type="dxa"/>
          </w:tcPr>
          <w:p w:rsidR="007D0ABC" w:rsidRDefault="007D0ABC">
            <w:pPr>
              <w:spacing w:before="60" w:after="60"/>
              <w:jc w:val="center"/>
              <w:rPr>
                <w:sz w:val="16"/>
              </w:rPr>
            </w:pPr>
            <w:r>
              <w:rPr>
                <w:sz w:val="16"/>
              </w:rPr>
              <w:t>Název návrhu předpisu</w:t>
            </w:r>
          </w:p>
        </w:tc>
        <w:tc>
          <w:tcPr>
            <w:tcW w:w="1457" w:type="dxa"/>
          </w:tcPr>
          <w:p w:rsidR="007D0ABC" w:rsidRDefault="007D0ABC">
            <w:pPr>
              <w:spacing w:before="60" w:after="60"/>
              <w:jc w:val="center"/>
              <w:rPr>
                <w:sz w:val="16"/>
              </w:rPr>
            </w:pPr>
            <w:r>
              <w:rPr>
                <w:sz w:val="16"/>
              </w:rPr>
              <w:t>Předpokládané datum zahájení přípravy / stav přípravy</w:t>
            </w:r>
          </w:p>
        </w:tc>
        <w:tc>
          <w:tcPr>
            <w:tcW w:w="1457" w:type="dxa"/>
          </w:tcPr>
          <w:p w:rsidR="007D0ABC" w:rsidRDefault="007D0ABC">
            <w:pPr>
              <w:spacing w:before="60" w:after="60"/>
              <w:jc w:val="center"/>
              <w:rPr>
                <w:sz w:val="16"/>
              </w:rPr>
            </w:pPr>
            <w:r>
              <w:rPr>
                <w:sz w:val="16"/>
              </w:rPr>
              <w:t xml:space="preserve">Předpokládané datum předložení vládě </w:t>
            </w:r>
          </w:p>
        </w:tc>
        <w:tc>
          <w:tcPr>
            <w:tcW w:w="1457" w:type="dxa"/>
          </w:tcPr>
          <w:p w:rsidR="007D0ABC" w:rsidRDefault="007D0ABC">
            <w:pPr>
              <w:spacing w:before="60" w:after="60"/>
              <w:jc w:val="center"/>
              <w:rPr>
                <w:sz w:val="16"/>
              </w:rPr>
            </w:pPr>
            <w:r>
              <w:rPr>
                <w:sz w:val="16"/>
              </w:rPr>
              <w:t>Předpokládané datum nabytí účinnosti</w:t>
            </w:r>
          </w:p>
        </w:tc>
      </w:tr>
      <w:tr w:rsidR="007D0ABC">
        <w:tc>
          <w:tcPr>
            <w:tcW w:w="546" w:type="dxa"/>
          </w:tcPr>
          <w:p w:rsidR="007D0ABC" w:rsidRDefault="007D0ABC" w:rsidP="00B7013F">
            <w:pPr>
              <w:keepNext/>
              <w:numPr>
                <w:ilvl w:val="0"/>
                <w:numId w:val="4"/>
              </w:numPr>
              <w:ind w:left="0" w:firstLine="0"/>
              <w:rPr>
                <w:sz w:val="18"/>
              </w:rPr>
            </w:pPr>
          </w:p>
        </w:tc>
        <w:tc>
          <w:tcPr>
            <w:tcW w:w="910" w:type="dxa"/>
          </w:tcPr>
          <w:p w:rsidR="007D0ABC" w:rsidRDefault="00D76EA9" w:rsidP="00B7013F">
            <w:pPr>
              <w:keepNext/>
              <w:rPr>
                <w:sz w:val="18"/>
              </w:rPr>
            </w:pPr>
            <w:r>
              <w:rPr>
                <w:sz w:val="18"/>
              </w:rPr>
              <w:t>9426</w:t>
            </w:r>
          </w:p>
        </w:tc>
        <w:tc>
          <w:tcPr>
            <w:tcW w:w="1092" w:type="dxa"/>
          </w:tcPr>
          <w:p w:rsidR="007D0ABC" w:rsidRDefault="007D0ABC" w:rsidP="00B7013F">
            <w:pPr>
              <w:keepNext/>
              <w:rPr>
                <w:sz w:val="18"/>
              </w:rPr>
            </w:pPr>
            <w:r>
              <w:rPr>
                <w:sz w:val="18"/>
              </w:rPr>
              <w:t>MF</w:t>
            </w:r>
          </w:p>
        </w:tc>
        <w:tc>
          <w:tcPr>
            <w:tcW w:w="8921" w:type="dxa"/>
          </w:tcPr>
          <w:p w:rsidR="007D0ABC" w:rsidRDefault="00B7013F" w:rsidP="00F80352">
            <w:pPr>
              <w:rPr>
                <w:sz w:val="18"/>
              </w:rPr>
            </w:pPr>
            <w:r w:rsidRPr="00B7013F">
              <w:rPr>
                <w:sz w:val="18"/>
                <w:szCs w:val="20"/>
              </w:rPr>
              <w:t>Návrh zákona, kterým se mění některé zákony v oblasti daní v souvislosti s implementací předpisů Evropské unie</w:t>
            </w:r>
            <w:r w:rsidR="00F80352">
              <w:rPr>
                <w:rFonts w:eastAsia="SimSun"/>
                <w:sz w:val="18"/>
                <w:szCs w:val="20"/>
              </w:rPr>
              <w:t xml:space="preserve">  </w:t>
            </w:r>
          </w:p>
        </w:tc>
        <w:tc>
          <w:tcPr>
            <w:tcW w:w="1457" w:type="dxa"/>
          </w:tcPr>
          <w:p w:rsidR="007D0ABC" w:rsidRDefault="00B7013F" w:rsidP="00B7013F">
            <w:pPr>
              <w:rPr>
                <w:sz w:val="18"/>
              </w:rPr>
            </w:pPr>
            <w:r>
              <w:rPr>
                <w:sz w:val="18"/>
              </w:rPr>
              <w:t>4. prosince 2018</w:t>
            </w:r>
          </w:p>
        </w:tc>
        <w:tc>
          <w:tcPr>
            <w:tcW w:w="1457" w:type="dxa"/>
          </w:tcPr>
          <w:p w:rsidR="007D0ABC" w:rsidRDefault="00B7013F">
            <w:pPr>
              <w:rPr>
                <w:sz w:val="18"/>
              </w:rPr>
            </w:pPr>
            <w:r>
              <w:rPr>
                <w:sz w:val="18"/>
              </w:rPr>
              <w:t>31. března 2019</w:t>
            </w:r>
          </w:p>
        </w:tc>
        <w:tc>
          <w:tcPr>
            <w:tcW w:w="1457" w:type="dxa"/>
          </w:tcPr>
          <w:p w:rsidR="007D0ABC" w:rsidRDefault="00B7013F">
            <w:pPr>
              <w:rPr>
                <w:sz w:val="18"/>
              </w:rPr>
            </w:pPr>
            <w:r>
              <w:rPr>
                <w:sz w:val="18"/>
              </w:rPr>
              <w:t>1. ledna 2020</w:t>
            </w:r>
          </w:p>
        </w:tc>
      </w:tr>
    </w:tbl>
    <w:p w:rsidR="007D0ABC" w:rsidRDefault="007D0ABC">
      <w:pPr>
        <w:rPr>
          <w:sz w:val="18"/>
        </w:rPr>
      </w:pPr>
    </w:p>
    <w:p w:rsidR="007D0ABC" w:rsidRDefault="007D0ABC">
      <w:pPr>
        <w:ind w:left="-900"/>
        <w:rPr>
          <w:b/>
          <w:bCs/>
          <w:sz w:val="18"/>
        </w:rPr>
      </w:pPr>
      <w:r>
        <w:rPr>
          <w:b/>
          <w:bCs/>
          <w:sz w:val="18"/>
        </w:rPr>
        <w:t xml:space="preserve">3. Poznámky </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15300"/>
      </w:tblGrid>
      <w:tr w:rsidR="007D0ABC">
        <w:tc>
          <w:tcPr>
            <w:tcW w:w="540" w:type="dxa"/>
          </w:tcPr>
          <w:p w:rsidR="007D0ABC" w:rsidRDefault="007D0ABC">
            <w:pPr>
              <w:jc w:val="center"/>
              <w:rPr>
                <w:sz w:val="16"/>
              </w:rPr>
            </w:pPr>
            <w:proofErr w:type="spellStart"/>
            <w:proofErr w:type="gramStart"/>
            <w:r>
              <w:rPr>
                <w:sz w:val="16"/>
              </w:rPr>
              <w:t>Poř.č</w:t>
            </w:r>
            <w:proofErr w:type="spellEnd"/>
            <w:r>
              <w:rPr>
                <w:sz w:val="16"/>
              </w:rPr>
              <w:t>.</w:t>
            </w:r>
            <w:proofErr w:type="gramEnd"/>
          </w:p>
        </w:tc>
        <w:tc>
          <w:tcPr>
            <w:tcW w:w="15300" w:type="dxa"/>
          </w:tcPr>
          <w:p w:rsidR="007D0ABC" w:rsidRDefault="007D0ABC">
            <w:pPr>
              <w:jc w:val="center"/>
              <w:rPr>
                <w:sz w:val="16"/>
              </w:rPr>
            </w:pPr>
            <w:r>
              <w:rPr>
                <w:sz w:val="16"/>
              </w:rPr>
              <w:t>Text poznámky</w:t>
            </w:r>
          </w:p>
        </w:tc>
      </w:tr>
      <w:tr w:rsidR="007D0ABC">
        <w:tc>
          <w:tcPr>
            <w:tcW w:w="540" w:type="dxa"/>
          </w:tcPr>
          <w:p w:rsidR="007D0ABC" w:rsidRDefault="007D0ABC">
            <w:pPr>
              <w:jc w:val="center"/>
              <w:rPr>
                <w:sz w:val="18"/>
              </w:rPr>
            </w:pPr>
          </w:p>
        </w:tc>
        <w:tc>
          <w:tcPr>
            <w:tcW w:w="15300" w:type="dxa"/>
          </w:tcPr>
          <w:p w:rsidR="007D0ABC" w:rsidRDefault="007D0ABC">
            <w:pPr>
              <w:jc w:val="both"/>
              <w:rPr>
                <w:sz w:val="18"/>
              </w:rPr>
            </w:pPr>
          </w:p>
        </w:tc>
      </w:tr>
    </w:tbl>
    <w:p w:rsidR="007D0ABC" w:rsidRDefault="007D0ABC">
      <w:pPr>
        <w:pStyle w:val="Zpat"/>
        <w:tabs>
          <w:tab w:val="clear" w:pos="4536"/>
          <w:tab w:val="clear" w:pos="9072"/>
        </w:tabs>
      </w:pPr>
    </w:p>
    <w:sectPr w:rsidR="007D0ABC" w:rsidSect="00DA1B7F">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720" w:right="459" w:bottom="851" w:left="1418" w:header="357" w:footer="5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3D5C" w:rsidRDefault="006E3D5C">
      <w:r>
        <w:separator/>
      </w:r>
    </w:p>
  </w:endnote>
  <w:endnote w:type="continuationSeparator" w:id="0">
    <w:p w:rsidR="006E3D5C" w:rsidRDefault="006E3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1BE0" w:rsidRDefault="00E01BE0">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ABC" w:rsidRDefault="007D0ABC">
    <w:pPr>
      <w:ind w:left="-900"/>
      <w:rPr>
        <w:sz w:val="16"/>
      </w:rPr>
    </w:pPr>
    <w:r>
      <w:rPr>
        <w:sz w:val="16"/>
      </w:rPr>
      <w:t xml:space="preserve">*/ použijte </w:t>
    </w:r>
    <w:proofErr w:type="gramStart"/>
    <w:r>
      <w:rPr>
        <w:sz w:val="16"/>
      </w:rPr>
      <w:t>zkratky : PT</w:t>
    </w:r>
    <w:proofErr w:type="gramEnd"/>
    <w:r>
      <w:rPr>
        <w:sz w:val="16"/>
      </w:rPr>
      <w:t xml:space="preserve">- plná transpozice, DT- dílčí transpozice, NT- netransponováno, PAD - plná adaptace, DAD - dílčí adaptace, NA - neadaptováno                                  </w:t>
    </w:r>
    <w:r>
      <w:rPr>
        <w:rStyle w:val="slostrnky"/>
        <w:snapToGrid w:val="0"/>
        <w:sz w:val="18"/>
      </w:rPr>
      <w:fldChar w:fldCharType="begin"/>
    </w:r>
    <w:r>
      <w:rPr>
        <w:rStyle w:val="slostrnky"/>
        <w:snapToGrid w:val="0"/>
        <w:sz w:val="18"/>
      </w:rPr>
      <w:instrText xml:space="preserve"> FILENAME </w:instrText>
    </w:r>
    <w:r>
      <w:rPr>
        <w:rStyle w:val="slostrnky"/>
        <w:snapToGrid w:val="0"/>
        <w:sz w:val="18"/>
      </w:rPr>
      <w:fldChar w:fldCharType="separate"/>
    </w:r>
    <w:r>
      <w:rPr>
        <w:rStyle w:val="slostrnky"/>
        <w:noProof/>
        <w:snapToGrid w:val="0"/>
        <w:sz w:val="18"/>
      </w:rPr>
      <w:t>3201</w:t>
    </w:r>
    <w:r w:rsidR="00ED30BA">
      <w:rPr>
        <w:rStyle w:val="slostrnky"/>
        <w:noProof/>
        <w:snapToGrid w:val="0"/>
        <w:sz w:val="18"/>
      </w:rPr>
      <w:t>8</w:t>
    </w:r>
    <w:r>
      <w:rPr>
        <w:rStyle w:val="slostrnky"/>
        <w:noProof/>
        <w:snapToGrid w:val="0"/>
        <w:sz w:val="18"/>
      </w:rPr>
      <w:t>L1</w:t>
    </w:r>
    <w:r w:rsidR="00ED30BA">
      <w:rPr>
        <w:rStyle w:val="slostrnky"/>
        <w:noProof/>
        <w:snapToGrid w:val="0"/>
        <w:sz w:val="18"/>
      </w:rPr>
      <w:t>910</w:t>
    </w:r>
    <w:r>
      <w:rPr>
        <w:rStyle w:val="slostrnky"/>
        <w:noProof/>
        <w:snapToGrid w:val="0"/>
        <w:sz w:val="18"/>
      </w:rPr>
      <w:t>_úvodní.docx</w:t>
    </w:r>
    <w:r>
      <w:rPr>
        <w:rStyle w:val="slostrnky"/>
        <w:snapToGrid w:val="0"/>
        <w:sz w:val="18"/>
      </w:rPr>
      <w:fldChar w:fldCharType="end"/>
    </w:r>
    <w:r>
      <w:rPr>
        <w:rStyle w:val="slostrnky"/>
        <w:snapToGrid w:val="0"/>
        <w:sz w:val="16"/>
      </w:rPr>
      <w:t xml:space="preserve"> </w:t>
    </w:r>
    <w:r>
      <w:rPr>
        <w:rStyle w:val="slostrnky"/>
        <w:snapToGrid w:val="0"/>
        <w:sz w:val="16"/>
      </w:rPr>
      <w:tab/>
    </w:r>
    <w:r>
      <w:rPr>
        <w:rStyle w:val="slostrnky"/>
        <w:snapToGrid w:val="0"/>
        <w:sz w:val="16"/>
      </w:rPr>
      <w:tab/>
      <w:t xml:space="preserve">   </w:t>
    </w:r>
    <w:r>
      <w:rPr>
        <w:rStyle w:val="slostrnky"/>
        <w:snapToGrid w:val="0"/>
        <w:sz w:val="18"/>
      </w:rPr>
      <w:t xml:space="preserve">str. </w:t>
    </w:r>
    <w:r>
      <w:rPr>
        <w:rStyle w:val="slostrnky"/>
        <w:sz w:val="18"/>
      </w:rPr>
      <w:fldChar w:fldCharType="begin"/>
    </w:r>
    <w:r>
      <w:rPr>
        <w:rStyle w:val="slostrnky"/>
        <w:sz w:val="18"/>
      </w:rPr>
      <w:instrText xml:space="preserve"> PAGE </w:instrText>
    </w:r>
    <w:r>
      <w:rPr>
        <w:rStyle w:val="slostrnky"/>
        <w:sz w:val="18"/>
      </w:rPr>
      <w:fldChar w:fldCharType="separate"/>
    </w:r>
    <w:r w:rsidR="00DA1B7F">
      <w:rPr>
        <w:rStyle w:val="slostrnky"/>
        <w:noProof/>
        <w:sz w:val="18"/>
      </w:rPr>
      <w:t>2</w:t>
    </w:r>
    <w:r>
      <w:rPr>
        <w:rStyle w:val="slostrnky"/>
        <w:sz w:val="18"/>
      </w:rPr>
      <w:fldChar w:fldCharType="end"/>
    </w:r>
    <w:r>
      <w:rPr>
        <w:rStyle w:val="slostrnky"/>
        <w:sz w:val="18"/>
      </w:rPr>
      <w:t xml:space="preserve"> z </w:t>
    </w:r>
    <w:r>
      <w:rPr>
        <w:rStyle w:val="slostrnky"/>
        <w:sz w:val="18"/>
      </w:rPr>
      <w:fldChar w:fldCharType="begin"/>
    </w:r>
    <w:r>
      <w:rPr>
        <w:rStyle w:val="slostrnky"/>
        <w:sz w:val="18"/>
      </w:rPr>
      <w:instrText xml:space="preserve"> NUMPAGES </w:instrText>
    </w:r>
    <w:r>
      <w:rPr>
        <w:rStyle w:val="slostrnky"/>
        <w:sz w:val="18"/>
      </w:rPr>
      <w:fldChar w:fldCharType="separate"/>
    </w:r>
    <w:r w:rsidR="00DA1B7F">
      <w:rPr>
        <w:rStyle w:val="slostrnky"/>
        <w:noProof/>
        <w:sz w:val="18"/>
      </w:rPr>
      <w:t>5</w:t>
    </w:r>
    <w:r>
      <w:rPr>
        <w:rStyle w:val="slostrnky"/>
        <w:sz w:val="18"/>
      </w:rPr>
      <w:fldChar w:fldCharType="end"/>
    </w:r>
    <w:r>
      <w:rPr>
        <w:rStyle w:val="slostrnky"/>
        <w:snapToGrid w:val="0"/>
        <w:sz w:val="16"/>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1BE0" w:rsidRDefault="00E01BE0">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3D5C" w:rsidRDefault="006E3D5C">
      <w:r>
        <w:separator/>
      </w:r>
    </w:p>
  </w:footnote>
  <w:footnote w:type="continuationSeparator" w:id="0">
    <w:p w:rsidR="006E3D5C" w:rsidRDefault="006E3D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1BE0" w:rsidRDefault="00E01BE0">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ABC" w:rsidRDefault="007D0ABC">
    <w:pPr>
      <w:pStyle w:val="Zhlav"/>
      <w:jc w:val="center"/>
      <w:rPr>
        <w:sz w:val="20"/>
      </w:rPr>
    </w:pPr>
    <w:r>
      <w:rPr>
        <w:sz w:val="20"/>
      </w:rPr>
      <w:t>Srovnávací tabulka</w:t>
    </w:r>
    <w:r>
      <w:rPr>
        <w:rStyle w:val="slostrnky"/>
        <w:snapToGrid w:val="0"/>
        <w:sz w:val="20"/>
      </w:rPr>
      <w:t xml:space="preserve"> pro posouzení implementace předpisu Evropské unie </w:t>
    </w:r>
    <w:r>
      <w:rPr>
        <w:rStyle w:val="slostrnky"/>
        <w:snapToGrid w:val="0"/>
        <w:sz w:val="16"/>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1BE0" w:rsidRPr="00DA1B7F" w:rsidRDefault="00E01BE0">
    <w:pPr>
      <w:pStyle w:val="Zhlav"/>
      <w:rPr>
        <w:b/>
        <w:sz w:val="20"/>
        <w:szCs w:val="20"/>
      </w:rPr>
    </w:pP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sidRPr="00DA1B7F">
      <w:rPr>
        <w:b/>
        <w:sz w:val="20"/>
        <w:szCs w:val="20"/>
      </w:rPr>
      <w:t>VIII. – část 9</w:t>
    </w:r>
  </w:p>
  <w:p w:rsidR="00E01BE0" w:rsidRDefault="00E01BE0">
    <w:pPr>
      <w:pStyle w:val="Zhlav"/>
    </w:pPr>
    <w:r>
      <w:rPr>
        <w:sz w:val="20"/>
      </w:rPr>
      <w:tab/>
    </w:r>
    <w:r>
      <w:rPr>
        <w:sz w:val="20"/>
      </w:rPr>
      <w:tab/>
      <w:t>Srovnávací tabulka</w:t>
    </w:r>
    <w:r>
      <w:rPr>
        <w:rStyle w:val="slostrnky"/>
        <w:snapToGrid w:val="0"/>
        <w:sz w:val="20"/>
      </w:rPr>
      <w:t xml:space="preserve"> pro posouzení implementace předpisu Evropské unie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5F5319"/>
    <w:multiLevelType w:val="hybridMultilevel"/>
    <w:tmpl w:val="0DB2A3CA"/>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nsid w:val="289F107D"/>
    <w:multiLevelType w:val="hybridMultilevel"/>
    <w:tmpl w:val="887C70F4"/>
    <w:lvl w:ilvl="0" w:tplc="0405000F">
      <w:start w:val="1"/>
      <w:numFmt w:val="decimal"/>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
    <w:nsid w:val="2EE26123"/>
    <w:multiLevelType w:val="hybridMultilevel"/>
    <w:tmpl w:val="B7FE0384"/>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nsid w:val="46601770"/>
    <w:multiLevelType w:val="multilevel"/>
    <w:tmpl w:val="EDA2F960"/>
    <w:lvl w:ilvl="0">
      <w:start w:val="1"/>
      <w:numFmt w:val="decimal"/>
      <w:lvlText w:val="%1."/>
      <w:lvlJc w:val="left"/>
      <w:pPr>
        <w:tabs>
          <w:tab w:val="num" w:pos="851"/>
        </w:tabs>
        <w:ind w:left="851" w:hanging="851"/>
      </w:pPr>
      <w:rPr>
        <w:rFonts w:cs="Times New Roman"/>
      </w:rPr>
    </w:lvl>
    <w:lvl w:ilvl="1">
      <w:start w:val="1"/>
      <w:numFmt w:val="decimal"/>
      <w:lvlText w:val="%1.%2."/>
      <w:lvlJc w:val="left"/>
      <w:pPr>
        <w:tabs>
          <w:tab w:val="num" w:pos="851"/>
        </w:tabs>
        <w:ind w:left="851" w:hanging="851"/>
      </w:pPr>
      <w:rPr>
        <w:rFonts w:cs="Times New Roman"/>
      </w:rPr>
    </w:lvl>
    <w:lvl w:ilvl="2">
      <w:start w:val="1"/>
      <w:numFmt w:val="decimal"/>
      <w:lvlText w:val="%1.%2.%3."/>
      <w:lvlJc w:val="left"/>
      <w:pPr>
        <w:tabs>
          <w:tab w:val="num" w:pos="851"/>
        </w:tabs>
        <w:ind w:left="851" w:hanging="851"/>
      </w:pPr>
      <w:rPr>
        <w:rFonts w:cs="Times New Roman"/>
      </w:rPr>
    </w:lvl>
    <w:lvl w:ilvl="3">
      <w:start w:val="1"/>
      <w:numFmt w:val="decimal"/>
      <w:lvlText w:val="%1.%2.%3.%4."/>
      <w:lvlJc w:val="left"/>
      <w:pPr>
        <w:tabs>
          <w:tab w:val="num" w:pos="851"/>
        </w:tabs>
        <w:ind w:left="851" w:hanging="851"/>
      </w:pPr>
      <w:rPr>
        <w:rFonts w:cs="Times New Roman"/>
      </w:rPr>
    </w:lvl>
    <w:lvl w:ilvl="4">
      <w:start w:val="1"/>
      <w:numFmt w:val="none"/>
      <w:lvlText w:val=""/>
      <w:lvlJc w:val="left"/>
      <w:pPr>
        <w:tabs>
          <w:tab w:val="num" w:pos="360"/>
        </w:tabs>
      </w:pPr>
      <w:rPr>
        <w:rFonts w:cs="Times New Roman"/>
      </w:rPr>
    </w:lvl>
    <w:lvl w:ilvl="5">
      <w:start w:val="1"/>
      <w:numFmt w:val="decimal"/>
      <w:lvlText w:val="%1.%2.%3.%4.%5.%6"/>
      <w:lvlJc w:val="left"/>
      <w:pPr>
        <w:tabs>
          <w:tab w:val="num" w:pos="0"/>
        </w:tabs>
      </w:pPr>
      <w:rPr>
        <w:rFonts w:cs="Times New Roman"/>
      </w:rPr>
    </w:lvl>
    <w:lvl w:ilvl="6">
      <w:start w:val="1"/>
      <w:numFmt w:val="decimal"/>
      <w:lvlText w:val="%1.%2.%3.%4.%5.%6.%7"/>
      <w:lvlJc w:val="left"/>
      <w:pPr>
        <w:tabs>
          <w:tab w:val="num" w:pos="0"/>
        </w:tabs>
      </w:pPr>
      <w:rPr>
        <w:rFonts w:cs="Times New Roman"/>
      </w:rPr>
    </w:lvl>
    <w:lvl w:ilvl="7">
      <w:start w:val="1"/>
      <w:numFmt w:val="decimal"/>
      <w:lvlText w:val="%1.%2.%3.%4.%5.%6.%7.%8"/>
      <w:lvlJc w:val="left"/>
      <w:pPr>
        <w:tabs>
          <w:tab w:val="num" w:pos="0"/>
        </w:tabs>
      </w:pPr>
      <w:rPr>
        <w:rFonts w:cs="Times New Roman"/>
      </w:rPr>
    </w:lvl>
    <w:lvl w:ilvl="8">
      <w:start w:val="1"/>
      <w:numFmt w:val="decimal"/>
      <w:lvlText w:val="%1.%2.%3.%4.%5.%6.%7.%8.%9"/>
      <w:lvlJc w:val="left"/>
      <w:pPr>
        <w:tabs>
          <w:tab w:val="num" w:pos="0"/>
        </w:tabs>
      </w:pPr>
      <w:rPr>
        <w:rFonts w:cs="Times New Roman"/>
      </w:rPr>
    </w:lvl>
  </w:abstractNum>
  <w:abstractNum w:abstractNumId="4">
    <w:nsid w:val="65A836AD"/>
    <w:multiLevelType w:val="hybridMultilevel"/>
    <w:tmpl w:val="A050B55C"/>
    <w:lvl w:ilvl="0" w:tplc="0405000F">
      <w:start w:val="1"/>
      <w:numFmt w:val="decimal"/>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5">
    <w:nsid w:val="6F816FBA"/>
    <w:multiLevelType w:val="hybridMultilevel"/>
    <w:tmpl w:val="01E63F40"/>
    <w:lvl w:ilvl="0" w:tplc="0405000F">
      <w:start w:val="1"/>
      <w:numFmt w:val="decimal"/>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0"/>
  </w:num>
  <w:num w:numId="3">
    <w:abstractNumId w:val="1"/>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trackRevisions/>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845"/>
    <w:rsid w:val="00004845"/>
    <w:rsid w:val="00015B52"/>
    <w:rsid w:val="000F1B98"/>
    <w:rsid w:val="00164FE4"/>
    <w:rsid w:val="00187A68"/>
    <w:rsid w:val="001C17EB"/>
    <w:rsid w:val="001F6F2D"/>
    <w:rsid w:val="002469F2"/>
    <w:rsid w:val="00257F2A"/>
    <w:rsid w:val="003750A4"/>
    <w:rsid w:val="00381B1F"/>
    <w:rsid w:val="003B2C27"/>
    <w:rsid w:val="003D4236"/>
    <w:rsid w:val="00400204"/>
    <w:rsid w:val="00416079"/>
    <w:rsid w:val="0049009A"/>
    <w:rsid w:val="00491DE9"/>
    <w:rsid w:val="004E1DAC"/>
    <w:rsid w:val="004F61BB"/>
    <w:rsid w:val="005357DD"/>
    <w:rsid w:val="00573C64"/>
    <w:rsid w:val="005B0595"/>
    <w:rsid w:val="00697001"/>
    <w:rsid w:val="006A6938"/>
    <w:rsid w:val="006E3D5C"/>
    <w:rsid w:val="00745419"/>
    <w:rsid w:val="00780F2C"/>
    <w:rsid w:val="007B1569"/>
    <w:rsid w:val="007D0ABC"/>
    <w:rsid w:val="007E6751"/>
    <w:rsid w:val="00813D10"/>
    <w:rsid w:val="009012B8"/>
    <w:rsid w:val="00951587"/>
    <w:rsid w:val="009571CB"/>
    <w:rsid w:val="00967918"/>
    <w:rsid w:val="009751DA"/>
    <w:rsid w:val="009C79AB"/>
    <w:rsid w:val="00A05B06"/>
    <w:rsid w:val="00A86131"/>
    <w:rsid w:val="00B05152"/>
    <w:rsid w:val="00B7013F"/>
    <w:rsid w:val="00B748E2"/>
    <w:rsid w:val="00C24B6D"/>
    <w:rsid w:val="00C6692F"/>
    <w:rsid w:val="00CE5D55"/>
    <w:rsid w:val="00D76EA9"/>
    <w:rsid w:val="00D959B8"/>
    <w:rsid w:val="00DA1B7F"/>
    <w:rsid w:val="00DB2AF8"/>
    <w:rsid w:val="00DC4ACA"/>
    <w:rsid w:val="00DD329B"/>
    <w:rsid w:val="00DE628D"/>
    <w:rsid w:val="00E019B2"/>
    <w:rsid w:val="00E01BE0"/>
    <w:rsid w:val="00E1023C"/>
    <w:rsid w:val="00E41BBC"/>
    <w:rsid w:val="00E959E7"/>
    <w:rsid w:val="00ED30BA"/>
    <w:rsid w:val="00EE6C6F"/>
    <w:rsid w:val="00EE76EC"/>
    <w:rsid w:val="00F0318B"/>
    <w:rsid w:val="00F0591C"/>
    <w:rsid w:val="00F60D73"/>
    <w:rsid w:val="00F64CCF"/>
    <w:rsid w:val="00F80352"/>
    <w:rsid w:val="00FA7EC9"/>
    <w:rsid w:val="00FC6FC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5B0595"/>
    <w:rPr>
      <w:sz w:val="24"/>
      <w:szCs w:val="24"/>
    </w:rPr>
  </w:style>
  <w:style w:type="paragraph" w:styleId="Nadpis1">
    <w:name w:val="heading 1"/>
    <w:basedOn w:val="Normln"/>
    <w:next w:val="Normln"/>
    <w:link w:val="Nadpis1Char"/>
    <w:uiPriority w:val="99"/>
    <w:qFormat/>
    <w:rsid w:val="005B0595"/>
    <w:pPr>
      <w:keepNext/>
      <w:ind w:left="-900"/>
      <w:jc w:val="center"/>
      <w:outlineLvl w:val="0"/>
    </w:pPr>
    <w:rPr>
      <w:sz w:val="1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004845"/>
    <w:rPr>
      <w:rFonts w:ascii="Cambria" w:hAnsi="Cambria" w:cs="Times New Roman"/>
      <w:b/>
      <w:bCs/>
      <w:kern w:val="32"/>
      <w:sz w:val="32"/>
      <w:szCs w:val="32"/>
    </w:rPr>
  </w:style>
  <w:style w:type="paragraph" w:styleId="Zpat">
    <w:name w:val="footer"/>
    <w:basedOn w:val="Normln"/>
    <w:link w:val="ZpatChar"/>
    <w:uiPriority w:val="99"/>
    <w:semiHidden/>
    <w:rsid w:val="005B0595"/>
    <w:pPr>
      <w:tabs>
        <w:tab w:val="center" w:pos="4536"/>
        <w:tab w:val="right" w:pos="9072"/>
      </w:tabs>
    </w:pPr>
  </w:style>
  <w:style w:type="character" w:customStyle="1" w:styleId="ZpatChar">
    <w:name w:val="Zápatí Char"/>
    <w:basedOn w:val="Standardnpsmoodstavce"/>
    <w:link w:val="Zpat"/>
    <w:uiPriority w:val="99"/>
    <w:semiHidden/>
    <w:locked/>
    <w:rsid w:val="00004845"/>
    <w:rPr>
      <w:rFonts w:cs="Times New Roman"/>
      <w:sz w:val="24"/>
      <w:szCs w:val="24"/>
    </w:rPr>
  </w:style>
  <w:style w:type="character" w:styleId="slostrnky">
    <w:name w:val="page number"/>
    <w:basedOn w:val="Standardnpsmoodstavce"/>
    <w:uiPriority w:val="99"/>
    <w:semiHidden/>
    <w:rsid w:val="005B0595"/>
    <w:rPr>
      <w:rFonts w:cs="Times New Roman"/>
    </w:rPr>
  </w:style>
  <w:style w:type="paragraph" w:styleId="Zhlav">
    <w:name w:val="header"/>
    <w:basedOn w:val="Normln"/>
    <w:link w:val="ZhlavChar"/>
    <w:uiPriority w:val="99"/>
    <w:semiHidden/>
    <w:rsid w:val="005B0595"/>
    <w:pPr>
      <w:tabs>
        <w:tab w:val="center" w:pos="4536"/>
        <w:tab w:val="right" w:pos="9072"/>
      </w:tabs>
    </w:pPr>
  </w:style>
  <w:style w:type="character" w:customStyle="1" w:styleId="ZhlavChar">
    <w:name w:val="Záhlaví Char"/>
    <w:basedOn w:val="Standardnpsmoodstavce"/>
    <w:link w:val="Zhlav"/>
    <w:uiPriority w:val="99"/>
    <w:semiHidden/>
    <w:locked/>
    <w:rsid w:val="00004845"/>
    <w:rPr>
      <w:rFonts w:cs="Times New Roman"/>
      <w:sz w:val="24"/>
      <w:szCs w:val="24"/>
    </w:rPr>
  </w:style>
  <w:style w:type="paragraph" w:customStyle="1" w:styleId="Text1">
    <w:name w:val="Text 1"/>
    <w:basedOn w:val="Normln"/>
    <w:uiPriority w:val="99"/>
    <w:rsid w:val="005B0595"/>
    <w:pPr>
      <w:spacing w:before="120" w:after="120"/>
      <w:ind w:left="851"/>
      <w:jc w:val="both"/>
    </w:pPr>
    <w:rPr>
      <w:szCs w:val="20"/>
    </w:rPr>
  </w:style>
  <w:style w:type="paragraph" w:customStyle="1" w:styleId="Text3">
    <w:name w:val="Text 3"/>
    <w:basedOn w:val="Normln"/>
    <w:uiPriority w:val="99"/>
    <w:rsid w:val="005B0595"/>
    <w:pPr>
      <w:spacing w:before="120" w:after="120"/>
      <w:ind w:left="851"/>
      <w:jc w:val="both"/>
    </w:pPr>
    <w:rPr>
      <w:szCs w:val="20"/>
    </w:rPr>
  </w:style>
  <w:style w:type="paragraph" w:customStyle="1" w:styleId="NormalCentered">
    <w:name w:val="Normal Centered"/>
    <w:basedOn w:val="Normln"/>
    <w:uiPriority w:val="99"/>
    <w:rsid w:val="005B0595"/>
    <w:pPr>
      <w:spacing w:before="120" w:after="120"/>
      <w:jc w:val="center"/>
    </w:pPr>
    <w:rPr>
      <w:szCs w:val="20"/>
    </w:rPr>
  </w:style>
  <w:style w:type="paragraph" w:styleId="Zkladntext">
    <w:name w:val="Body Text"/>
    <w:basedOn w:val="Normln"/>
    <w:link w:val="ZkladntextChar"/>
    <w:uiPriority w:val="99"/>
    <w:semiHidden/>
    <w:rsid w:val="005B0595"/>
    <w:pPr>
      <w:tabs>
        <w:tab w:val="left" w:pos="851"/>
      </w:tabs>
      <w:spacing w:before="100" w:beforeAutospacing="1" w:after="100" w:afterAutospacing="1" w:line="240" w:lineRule="atLeast"/>
    </w:pPr>
    <w:rPr>
      <w:color w:val="000000"/>
      <w:sz w:val="18"/>
    </w:rPr>
  </w:style>
  <w:style w:type="character" w:customStyle="1" w:styleId="ZkladntextChar">
    <w:name w:val="Základní text Char"/>
    <w:basedOn w:val="Standardnpsmoodstavce"/>
    <w:link w:val="Zkladntext"/>
    <w:uiPriority w:val="99"/>
    <w:semiHidden/>
    <w:locked/>
    <w:rsid w:val="00004845"/>
    <w:rPr>
      <w:rFonts w:cs="Times New Roman"/>
      <w:sz w:val="24"/>
      <w:szCs w:val="24"/>
    </w:rPr>
  </w:style>
  <w:style w:type="paragraph" w:styleId="Zkladntext3">
    <w:name w:val="Body Text 3"/>
    <w:basedOn w:val="Normln"/>
    <w:link w:val="Zkladntext3Char"/>
    <w:uiPriority w:val="99"/>
    <w:semiHidden/>
    <w:rsid w:val="005B0595"/>
    <w:pPr>
      <w:spacing w:before="100" w:beforeAutospacing="1" w:after="100" w:afterAutospacing="1"/>
    </w:pPr>
    <w:rPr>
      <w:sz w:val="18"/>
    </w:rPr>
  </w:style>
  <w:style w:type="character" w:customStyle="1" w:styleId="Zkladntext3Char">
    <w:name w:val="Základní text 3 Char"/>
    <w:basedOn w:val="Standardnpsmoodstavce"/>
    <w:link w:val="Zkladntext3"/>
    <w:uiPriority w:val="99"/>
    <w:semiHidden/>
    <w:locked/>
    <w:rsid w:val="00004845"/>
    <w:rPr>
      <w:rFonts w:cs="Times New Roman"/>
      <w:sz w:val="16"/>
      <w:szCs w:val="16"/>
    </w:rPr>
  </w:style>
  <w:style w:type="paragraph" w:customStyle="1" w:styleId="NumPar1">
    <w:name w:val="NumPar 1"/>
    <w:basedOn w:val="Normln"/>
    <w:next w:val="Normln"/>
    <w:uiPriority w:val="99"/>
    <w:rsid w:val="005B0595"/>
    <w:pPr>
      <w:tabs>
        <w:tab w:val="left" w:pos="851"/>
      </w:tabs>
      <w:spacing w:before="120" w:after="120"/>
      <w:jc w:val="both"/>
    </w:pPr>
    <w:rPr>
      <w:szCs w:val="20"/>
    </w:rPr>
  </w:style>
  <w:style w:type="paragraph" w:customStyle="1" w:styleId="NumPar2">
    <w:name w:val="NumPar 2"/>
    <w:basedOn w:val="Normln"/>
    <w:next w:val="Normln"/>
    <w:uiPriority w:val="99"/>
    <w:rsid w:val="005B0595"/>
    <w:pPr>
      <w:spacing w:before="120" w:after="120"/>
      <w:jc w:val="both"/>
    </w:pPr>
    <w:rPr>
      <w:szCs w:val="20"/>
    </w:rPr>
  </w:style>
  <w:style w:type="paragraph" w:styleId="Rozloendokumentu">
    <w:name w:val="Document Map"/>
    <w:basedOn w:val="Normln"/>
    <w:link w:val="RozloendokumentuChar"/>
    <w:uiPriority w:val="99"/>
    <w:semiHidden/>
    <w:rsid w:val="00DB2AF8"/>
    <w:pPr>
      <w:shd w:val="clear" w:color="auto" w:fill="000080"/>
    </w:pPr>
    <w:rPr>
      <w:rFonts w:ascii="Tahoma" w:hAnsi="Tahoma" w:cs="Tahoma"/>
      <w:sz w:val="20"/>
      <w:szCs w:val="20"/>
    </w:rPr>
  </w:style>
  <w:style w:type="character" w:customStyle="1" w:styleId="RozloendokumentuChar">
    <w:name w:val="Rozložení dokumentu Char"/>
    <w:basedOn w:val="Standardnpsmoodstavce"/>
    <w:link w:val="Rozloendokumentu"/>
    <w:uiPriority w:val="99"/>
    <w:semiHidden/>
    <w:rsid w:val="0028750F"/>
    <w:rPr>
      <w:sz w:val="0"/>
      <w:szCs w:val="0"/>
    </w:rPr>
  </w:style>
  <w:style w:type="paragraph" w:styleId="Textbubliny">
    <w:name w:val="Balloon Text"/>
    <w:basedOn w:val="Normln"/>
    <w:link w:val="TextbublinyChar"/>
    <w:uiPriority w:val="99"/>
    <w:semiHidden/>
    <w:unhideWhenUsed/>
    <w:rsid w:val="00E01BE0"/>
    <w:rPr>
      <w:rFonts w:ascii="Tahoma" w:hAnsi="Tahoma" w:cs="Tahoma"/>
      <w:sz w:val="16"/>
      <w:szCs w:val="16"/>
    </w:rPr>
  </w:style>
  <w:style w:type="character" w:customStyle="1" w:styleId="TextbublinyChar">
    <w:name w:val="Text bubliny Char"/>
    <w:basedOn w:val="Standardnpsmoodstavce"/>
    <w:link w:val="Textbubliny"/>
    <w:uiPriority w:val="99"/>
    <w:semiHidden/>
    <w:rsid w:val="00E01BE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5B0595"/>
    <w:rPr>
      <w:sz w:val="24"/>
      <w:szCs w:val="24"/>
    </w:rPr>
  </w:style>
  <w:style w:type="paragraph" w:styleId="Nadpis1">
    <w:name w:val="heading 1"/>
    <w:basedOn w:val="Normln"/>
    <w:next w:val="Normln"/>
    <w:link w:val="Nadpis1Char"/>
    <w:uiPriority w:val="99"/>
    <w:qFormat/>
    <w:rsid w:val="005B0595"/>
    <w:pPr>
      <w:keepNext/>
      <w:ind w:left="-900"/>
      <w:jc w:val="center"/>
      <w:outlineLvl w:val="0"/>
    </w:pPr>
    <w:rPr>
      <w:sz w:val="1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004845"/>
    <w:rPr>
      <w:rFonts w:ascii="Cambria" w:hAnsi="Cambria" w:cs="Times New Roman"/>
      <w:b/>
      <w:bCs/>
      <w:kern w:val="32"/>
      <w:sz w:val="32"/>
      <w:szCs w:val="32"/>
    </w:rPr>
  </w:style>
  <w:style w:type="paragraph" w:styleId="Zpat">
    <w:name w:val="footer"/>
    <w:basedOn w:val="Normln"/>
    <w:link w:val="ZpatChar"/>
    <w:uiPriority w:val="99"/>
    <w:semiHidden/>
    <w:rsid w:val="005B0595"/>
    <w:pPr>
      <w:tabs>
        <w:tab w:val="center" w:pos="4536"/>
        <w:tab w:val="right" w:pos="9072"/>
      </w:tabs>
    </w:pPr>
  </w:style>
  <w:style w:type="character" w:customStyle="1" w:styleId="ZpatChar">
    <w:name w:val="Zápatí Char"/>
    <w:basedOn w:val="Standardnpsmoodstavce"/>
    <w:link w:val="Zpat"/>
    <w:uiPriority w:val="99"/>
    <w:semiHidden/>
    <w:locked/>
    <w:rsid w:val="00004845"/>
    <w:rPr>
      <w:rFonts w:cs="Times New Roman"/>
      <w:sz w:val="24"/>
      <w:szCs w:val="24"/>
    </w:rPr>
  </w:style>
  <w:style w:type="character" w:styleId="slostrnky">
    <w:name w:val="page number"/>
    <w:basedOn w:val="Standardnpsmoodstavce"/>
    <w:uiPriority w:val="99"/>
    <w:semiHidden/>
    <w:rsid w:val="005B0595"/>
    <w:rPr>
      <w:rFonts w:cs="Times New Roman"/>
    </w:rPr>
  </w:style>
  <w:style w:type="paragraph" w:styleId="Zhlav">
    <w:name w:val="header"/>
    <w:basedOn w:val="Normln"/>
    <w:link w:val="ZhlavChar"/>
    <w:uiPriority w:val="99"/>
    <w:semiHidden/>
    <w:rsid w:val="005B0595"/>
    <w:pPr>
      <w:tabs>
        <w:tab w:val="center" w:pos="4536"/>
        <w:tab w:val="right" w:pos="9072"/>
      </w:tabs>
    </w:pPr>
  </w:style>
  <w:style w:type="character" w:customStyle="1" w:styleId="ZhlavChar">
    <w:name w:val="Záhlaví Char"/>
    <w:basedOn w:val="Standardnpsmoodstavce"/>
    <w:link w:val="Zhlav"/>
    <w:uiPriority w:val="99"/>
    <w:semiHidden/>
    <w:locked/>
    <w:rsid w:val="00004845"/>
    <w:rPr>
      <w:rFonts w:cs="Times New Roman"/>
      <w:sz w:val="24"/>
      <w:szCs w:val="24"/>
    </w:rPr>
  </w:style>
  <w:style w:type="paragraph" w:customStyle="1" w:styleId="Text1">
    <w:name w:val="Text 1"/>
    <w:basedOn w:val="Normln"/>
    <w:uiPriority w:val="99"/>
    <w:rsid w:val="005B0595"/>
    <w:pPr>
      <w:spacing w:before="120" w:after="120"/>
      <w:ind w:left="851"/>
      <w:jc w:val="both"/>
    </w:pPr>
    <w:rPr>
      <w:szCs w:val="20"/>
    </w:rPr>
  </w:style>
  <w:style w:type="paragraph" w:customStyle="1" w:styleId="Text3">
    <w:name w:val="Text 3"/>
    <w:basedOn w:val="Normln"/>
    <w:uiPriority w:val="99"/>
    <w:rsid w:val="005B0595"/>
    <w:pPr>
      <w:spacing w:before="120" w:after="120"/>
      <w:ind w:left="851"/>
      <w:jc w:val="both"/>
    </w:pPr>
    <w:rPr>
      <w:szCs w:val="20"/>
    </w:rPr>
  </w:style>
  <w:style w:type="paragraph" w:customStyle="1" w:styleId="NormalCentered">
    <w:name w:val="Normal Centered"/>
    <w:basedOn w:val="Normln"/>
    <w:uiPriority w:val="99"/>
    <w:rsid w:val="005B0595"/>
    <w:pPr>
      <w:spacing w:before="120" w:after="120"/>
      <w:jc w:val="center"/>
    </w:pPr>
    <w:rPr>
      <w:szCs w:val="20"/>
    </w:rPr>
  </w:style>
  <w:style w:type="paragraph" w:styleId="Zkladntext">
    <w:name w:val="Body Text"/>
    <w:basedOn w:val="Normln"/>
    <w:link w:val="ZkladntextChar"/>
    <w:uiPriority w:val="99"/>
    <w:semiHidden/>
    <w:rsid w:val="005B0595"/>
    <w:pPr>
      <w:tabs>
        <w:tab w:val="left" w:pos="851"/>
      </w:tabs>
      <w:spacing w:before="100" w:beforeAutospacing="1" w:after="100" w:afterAutospacing="1" w:line="240" w:lineRule="atLeast"/>
    </w:pPr>
    <w:rPr>
      <w:color w:val="000000"/>
      <w:sz w:val="18"/>
    </w:rPr>
  </w:style>
  <w:style w:type="character" w:customStyle="1" w:styleId="ZkladntextChar">
    <w:name w:val="Základní text Char"/>
    <w:basedOn w:val="Standardnpsmoodstavce"/>
    <w:link w:val="Zkladntext"/>
    <w:uiPriority w:val="99"/>
    <w:semiHidden/>
    <w:locked/>
    <w:rsid w:val="00004845"/>
    <w:rPr>
      <w:rFonts w:cs="Times New Roman"/>
      <w:sz w:val="24"/>
      <w:szCs w:val="24"/>
    </w:rPr>
  </w:style>
  <w:style w:type="paragraph" w:styleId="Zkladntext3">
    <w:name w:val="Body Text 3"/>
    <w:basedOn w:val="Normln"/>
    <w:link w:val="Zkladntext3Char"/>
    <w:uiPriority w:val="99"/>
    <w:semiHidden/>
    <w:rsid w:val="005B0595"/>
    <w:pPr>
      <w:spacing w:before="100" w:beforeAutospacing="1" w:after="100" w:afterAutospacing="1"/>
    </w:pPr>
    <w:rPr>
      <w:sz w:val="18"/>
    </w:rPr>
  </w:style>
  <w:style w:type="character" w:customStyle="1" w:styleId="Zkladntext3Char">
    <w:name w:val="Základní text 3 Char"/>
    <w:basedOn w:val="Standardnpsmoodstavce"/>
    <w:link w:val="Zkladntext3"/>
    <w:uiPriority w:val="99"/>
    <w:semiHidden/>
    <w:locked/>
    <w:rsid w:val="00004845"/>
    <w:rPr>
      <w:rFonts w:cs="Times New Roman"/>
      <w:sz w:val="16"/>
      <w:szCs w:val="16"/>
    </w:rPr>
  </w:style>
  <w:style w:type="paragraph" w:customStyle="1" w:styleId="NumPar1">
    <w:name w:val="NumPar 1"/>
    <w:basedOn w:val="Normln"/>
    <w:next w:val="Normln"/>
    <w:uiPriority w:val="99"/>
    <w:rsid w:val="005B0595"/>
    <w:pPr>
      <w:tabs>
        <w:tab w:val="left" w:pos="851"/>
      </w:tabs>
      <w:spacing w:before="120" w:after="120"/>
      <w:jc w:val="both"/>
    </w:pPr>
    <w:rPr>
      <w:szCs w:val="20"/>
    </w:rPr>
  </w:style>
  <w:style w:type="paragraph" w:customStyle="1" w:styleId="NumPar2">
    <w:name w:val="NumPar 2"/>
    <w:basedOn w:val="Normln"/>
    <w:next w:val="Normln"/>
    <w:uiPriority w:val="99"/>
    <w:rsid w:val="005B0595"/>
    <w:pPr>
      <w:spacing w:before="120" w:after="120"/>
      <w:jc w:val="both"/>
    </w:pPr>
    <w:rPr>
      <w:szCs w:val="20"/>
    </w:rPr>
  </w:style>
  <w:style w:type="paragraph" w:styleId="Rozloendokumentu">
    <w:name w:val="Document Map"/>
    <w:basedOn w:val="Normln"/>
    <w:link w:val="RozloendokumentuChar"/>
    <w:uiPriority w:val="99"/>
    <w:semiHidden/>
    <w:rsid w:val="00DB2AF8"/>
    <w:pPr>
      <w:shd w:val="clear" w:color="auto" w:fill="000080"/>
    </w:pPr>
    <w:rPr>
      <w:rFonts w:ascii="Tahoma" w:hAnsi="Tahoma" w:cs="Tahoma"/>
      <w:sz w:val="20"/>
      <w:szCs w:val="20"/>
    </w:rPr>
  </w:style>
  <w:style w:type="character" w:customStyle="1" w:styleId="RozloendokumentuChar">
    <w:name w:val="Rozložení dokumentu Char"/>
    <w:basedOn w:val="Standardnpsmoodstavce"/>
    <w:link w:val="Rozloendokumentu"/>
    <w:uiPriority w:val="99"/>
    <w:semiHidden/>
    <w:rsid w:val="0028750F"/>
    <w:rPr>
      <w:sz w:val="0"/>
      <w:szCs w:val="0"/>
    </w:rPr>
  </w:style>
  <w:style w:type="paragraph" w:styleId="Textbubliny">
    <w:name w:val="Balloon Text"/>
    <w:basedOn w:val="Normln"/>
    <w:link w:val="TextbublinyChar"/>
    <w:uiPriority w:val="99"/>
    <w:semiHidden/>
    <w:unhideWhenUsed/>
    <w:rsid w:val="00E01BE0"/>
    <w:rPr>
      <w:rFonts w:ascii="Tahoma" w:hAnsi="Tahoma" w:cs="Tahoma"/>
      <w:sz w:val="16"/>
      <w:szCs w:val="16"/>
    </w:rPr>
  </w:style>
  <w:style w:type="character" w:customStyle="1" w:styleId="TextbublinyChar">
    <w:name w:val="Text bubliny Char"/>
    <w:basedOn w:val="Standardnpsmoodstavce"/>
    <w:link w:val="Textbubliny"/>
    <w:uiPriority w:val="99"/>
    <w:semiHidden/>
    <w:rsid w:val="00E01BE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TEMP\stns08090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stns080903.dot</Template>
  <TotalTime>5</TotalTime>
  <Pages>5</Pages>
  <Words>1653</Words>
  <Characters>8746</Characters>
  <Application>Microsoft Office Word</Application>
  <DocSecurity>0</DocSecurity>
  <Lines>72</Lines>
  <Paragraphs>20</Paragraphs>
  <ScaleCrop>false</ScaleCrop>
  <HeadingPairs>
    <vt:vector size="2" baseType="variant">
      <vt:variant>
        <vt:lpstr>Název</vt:lpstr>
      </vt:variant>
      <vt:variant>
        <vt:i4>1</vt:i4>
      </vt:variant>
    </vt:vector>
  </HeadingPairs>
  <TitlesOfParts>
    <vt:vector size="1" baseType="lpstr">
      <vt:lpstr>Celex kód:</vt:lpstr>
    </vt:vector>
  </TitlesOfParts>
  <Company>okom</Company>
  <LinksUpToDate>false</LinksUpToDate>
  <CharactersWithSpaces>10379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Celex kód:</dc:title>
  <dc:creator>Zenith Data Systems</dc:creator>
  <cp:lastModifiedBy>Mairovský Štěpán Mgr.</cp:lastModifiedBy>
  <cp:revision>5</cp:revision>
  <cp:lastPrinted>2006-01-11T11:01:00Z</cp:lastPrinted>
  <dcterms:created xsi:type="dcterms:W3CDTF">2019-01-14T14:07:00Z</dcterms:created>
  <dcterms:modified xsi:type="dcterms:W3CDTF">2019-03-07T13:44:00Z</dcterms:modified>
</cp:coreProperties>
</file>